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D5D" w:rsidRDefault="000E3D5D">
      <w:bookmarkStart w:id="0" w:name="_GoBack"/>
      <w:bookmarkEnd w:id="0"/>
    </w:p>
    <w:p w:rsidR="000E3D5D" w:rsidRDefault="00C44468">
      <w:pPr>
        <w:adjustRightInd w:val="0"/>
        <w:snapToGrid w:val="0"/>
        <w:spacing w:line="360" w:lineRule="auto"/>
        <w:jc w:val="center"/>
        <w:rPr>
          <w:rFonts w:ascii="宋体" w:hAnsi="宋体" w:cs="宋体"/>
          <w:b/>
          <w:sz w:val="24"/>
        </w:rPr>
      </w:pPr>
      <w:r>
        <w:rPr>
          <w:rFonts w:ascii="宋体" w:hAnsi="宋体" w:cs="宋体"/>
          <w:b/>
          <w:sz w:val="24"/>
        </w:rPr>
        <w:t>国新国</w:t>
      </w:r>
      <w:proofErr w:type="gramStart"/>
      <w:r>
        <w:rPr>
          <w:rFonts w:ascii="宋体" w:hAnsi="宋体" w:cs="宋体"/>
          <w:b/>
          <w:sz w:val="24"/>
        </w:rPr>
        <w:t>证融泽</w:t>
      </w:r>
      <w:proofErr w:type="gramEnd"/>
      <w:r>
        <w:rPr>
          <w:rFonts w:ascii="宋体" w:hAnsi="宋体" w:cs="宋体"/>
          <w:b/>
          <w:sz w:val="24"/>
        </w:rPr>
        <w:t>6个月定期开放灵活配置混合型证券投资基金</w:t>
      </w:r>
    </w:p>
    <w:p w:rsidR="000E3D5D" w:rsidRDefault="00C44468">
      <w:pPr>
        <w:adjustRightInd w:val="0"/>
        <w:snapToGrid w:val="0"/>
        <w:spacing w:line="360" w:lineRule="auto"/>
        <w:jc w:val="center"/>
        <w:rPr>
          <w:sz w:val="24"/>
        </w:rPr>
      </w:pPr>
      <w:r>
        <w:rPr>
          <w:rFonts w:ascii="宋体" w:hAnsi="宋体" w:cs="宋体"/>
          <w:b/>
          <w:sz w:val="24"/>
        </w:rPr>
        <w:t>开放日常申购、赎回、转换业务的公告</w:t>
      </w:r>
    </w:p>
    <w:p w:rsidR="000E3D5D" w:rsidRDefault="00C44468" w:rsidP="00B014FA">
      <w:pPr>
        <w:adjustRightInd w:val="0"/>
        <w:snapToGrid w:val="0"/>
        <w:spacing w:line="360" w:lineRule="auto"/>
        <w:jc w:val="center"/>
      </w:pPr>
      <w:r>
        <w:rPr>
          <w:rFonts w:ascii="宋体" w:hAnsi="宋体" w:cs="宋体"/>
        </w:rPr>
        <w:t>公告送出日期：</w:t>
      </w:r>
      <w:r w:rsidR="00B014FA">
        <w:rPr>
          <w:rFonts w:ascii="宋体" w:hAnsi="宋体" w:cs="宋体" w:hint="eastAsia"/>
        </w:rPr>
        <w:t>2026</w:t>
      </w:r>
      <w:r w:rsidR="00B014FA">
        <w:rPr>
          <w:rFonts w:ascii="宋体" w:hAnsi="宋体" w:cs="宋体"/>
        </w:rPr>
        <w:t>年</w:t>
      </w:r>
      <w:r w:rsidR="0073051B">
        <w:rPr>
          <w:rFonts w:ascii="宋体" w:hAnsi="宋体" w:cs="宋体" w:hint="eastAsia"/>
        </w:rPr>
        <w:t>10</w:t>
      </w:r>
      <w:r w:rsidR="00B014FA">
        <w:rPr>
          <w:rFonts w:ascii="宋体" w:hAnsi="宋体" w:cs="宋体"/>
        </w:rPr>
        <w:t>月</w:t>
      </w:r>
      <w:r w:rsidR="0073051B">
        <w:rPr>
          <w:rFonts w:ascii="宋体" w:hAnsi="宋体" w:cs="宋体" w:hint="eastAsia"/>
        </w:rPr>
        <w:t>14</w:t>
      </w:r>
      <w:r w:rsidR="00B014FA">
        <w:rPr>
          <w:rFonts w:ascii="宋体" w:hAnsi="宋体" w:cs="宋体"/>
        </w:rPr>
        <w:t>日</w:t>
      </w:r>
    </w:p>
    <w:p w:rsidR="000E3D5D" w:rsidRDefault="00C44468">
      <w:pPr>
        <w:pStyle w:val="1"/>
      </w:pPr>
      <w:r>
        <w:t>1 公告基本信息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6"/>
        <w:gridCol w:w="3156"/>
        <w:gridCol w:w="3274"/>
      </w:tblGrid>
      <w:tr w:rsidR="000E3D5D">
        <w:tc>
          <w:tcPr>
            <w:tcW w:w="1537" w:type="pct"/>
          </w:tcPr>
          <w:p w:rsidR="000E3D5D" w:rsidRDefault="00C44468">
            <w:pPr>
              <w:spacing w:line="240" w:lineRule="auto"/>
              <w:jc w:val="left"/>
            </w:pPr>
            <w:r>
              <w:rPr>
                <w:rFonts w:ascii="宋体" w:hAnsi="宋体" w:cs="宋体"/>
              </w:rPr>
              <w:t>基金名称</w:t>
            </w:r>
          </w:p>
        </w:tc>
        <w:tc>
          <w:tcPr>
            <w:tcW w:w="3462" w:type="pct"/>
            <w:gridSpan w:val="2"/>
          </w:tcPr>
          <w:p w:rsidR="000E3D5D" w:rsidRDefault="00C44468">
            <w:pPr>
              <w:spacing w:line="240" w:lineRule="auto"/>
              <w:jc w:val="left"/>
            </w:pPr>
            <w:r>
              <w:rPr>
                <w:rFonts w:ascii="宋体" w:hAnsi="宋体" w:cs="宋体"/>
              </w:rPr>
              <w:t>国新国</w:t>
            </w:r>
            <w:proofErr w:type="gramStart"/>
            <w:r>
              <w:rPr>
                <w:rFonts w:ascii="宋体" w:hAnsi="宋体" w:cs="宋体"/>
              </w:rPr>
              <w:t>证融泽</w:t>
            </w:r>
            <w:proofErr w:type="gramEnd"/>
            <w:r>
              <w:rPr>
                <w:rFonts w:ascii="宋体" w:hAnsi="宋体" w:cs="宋体"/>
              </w:rPr>
              <w:t>6个月定期开放灵活配置混合型证券投资基金</w:t>
            </w:r>
          </w:p>
        </w:tc>
      </w:tr>
      <w:tr w:rsidR="000E3D5D">
        <w:tc>
          <w:tcPr>
            <w:tcW w:w="1537" w:type="pct"/>
          </w:tcPr>
          <w:p w:rsidR="000E3D5D" w:rsidRDefault="00C44468">
            <w:pPr>
              <w:spacing w:line="240" w:lineRule="auto"/>
              <w:jc w:val="left"/>
            </w:pPr>
            <w:r>
              <w:rPr>
                <w:rFonts w:ascii="宋体" w:hAnsi="宋体" w:cs="宋体"/>
              </w:rPr>
              <w:t>基金简称</w:t>
            </w:r>
          </w:p>
        </w:tc>
        <w:tc>
          <w:tcPr>
            <w:tcW w:w="3462" w:type="pct"/>
            <w:gridSpan w:val="2"/>
          </w:tcPr>
          <w:p w:rsidR="000E3D5D" w:rsidRDefault="00C44468">
            <w:pPr>
              <w:spacing w:line="240" w:lineRule="auto"/>
              <w:jc w:val="left"/>
            </w:pPr>
            <w:r>
              <w:rPr>
                <w:rFonts w:ascii="宋体" w:hAnsi="宋体" w:cs="宋体"/>
              </w:rPr>
              <w:t>国新国</w:t>
            </w:r>
            <w:proofErr w:type="gramStart"/>
            <w:r>
              <w:rPr>
                <w:rFonts w:ascii="宋体" w:hAnsi="宋体" w:cs="宋体"/>
              </w:rPr>
              <w:t>证融泽</w:t>
            </w:r>
            <w:proofErr w:type="gramEnd"/>
            <w:r>
              <w:rPr>
                <w:rFonts w:ascii="宋体" w:hAnsi="宋体" w:cs="宋体"/>
              </w:rPr>
              <w:t>6个月定开混合</w:t>
            </w:r>
          </w:p>
        </w:tc>
      </w:tr>
      <w:tr w:rsidR="000E3D5D">
        <w:tc>
          <w:tcPr>
            <w:tcW w:w="1537" w:type="pct"/>
          </w:tcPr>
          <w:p w:rsidR="000E3D5D" w:rsidRDefault="00C44468">
            <w:pPr>
              <w:spacing w:line="240" w:lineRule="auto"/>
              <w:jc w:val="left"/>
            </w:pPr>
            <w:r>
              <w:rPr>
                <w:rFonts w:ascii="宋体" w:hAnsi="宋体" w:cs="宋体"/>
              </w:rPr>
              <w:t>基金主代码</w:t>
            </w:r>
          </w:p>
        </w:tc>
        <w:tc>
          <w:tcPr>
            <w:tcW w:w="3462" w:type="pct"/>
            <w:gridSpan w:val="2"/>
          </w:tcPr>
          <w:p w:rsidR="000E3D5D" w:rsidRDefault="00C44468">
            <w:pPr>
              <w:spacing w:line="240" w:lineRule="auto"/>
              <w:jc w:val="left"/>
            </w:pPr>
            <w:r>
              <w:rPr>
                <w:rFonts w:ascii="宋体" w:hAnsi="宋体" w:cs="宋体"/>
              </w:rPr>
              <w:t>012675</w:t>
            </w:r>
          </w:p>
        </w:tc>
      </w:tr>
      <w:tr w:rsidR="000E3D5D">
        <w:tc>
          <w:tcPr>
            <w:tcW w:w="1537" w:type="pct"/>
          </w:tcPr>
          <w:p w:rsidR="000E3D5D" w:rsidRDefault="00C44468">
            <w:pPr>
              <w:spacing w:line="240" w:lineRule="auto"/>
              <w:jc w:val="left"/>
            </w:pPr>
            <w:r>
              <w:rPr>
                <w:rFonts w:ascii="宋体" w:hAnsi="宋体" w:cs="宋体"/>
              </w:rPr>
              <w:t>基金运作方式</w:t>
            </w:r>
          </w:p>
        </w:tc>
        <w:tc>
          <w:tcPr>
            <w:tcW w:w="3462" w:type="pct"/>
            <w:gridSpan w:val="2"/>
          </w:tcPr>
          <w:p w:rsidR="000E3D5D" w:rsidRDefault="00C44468">
            <w:pPr>
              <w:spacing w:line="240" w:lineRule="auto"/>
              <w:jc w:val="left"/>
            </w:pPr>
            <w:r>
              <w:rPr>
                <w:rFonts w:ascii="宋体" w:hAnsi="宋体" w:cs="宋体"/>
              </w:rPr>
              <w:t>契约型、定期开放式</w:t>
            </w:r>
          </w:p>
        </w:tc>
      </w:tr>
      <w:tr w:rsidR="000E3D5D">
        <w:tc>
          <w:tcPr>
            <w:tcW w:w="1537" w:type="pct"/>
          </w:tcPr>
          <w:p w:rsidR="000E3D5D" w:rsidRDefault="00C44468">
            <w:pPr>
              <w:spacing w:line="240" w:lineRule="auto"/>
              <w:jc w:val="left"/>
            </w:pPr>
            <w:r>
              <w:rPr>
                <w:rFonts w:ascii="宋体" w:hAnsi="宋体" w:cs="宋体"/>
              </w:rPr>
              <w:t>基金合同生效日</w:t>
            </w:r>
          </w:p>
        </w:tc>
        <w:tc>
          <w:tcPr>
            <w:tcW w:w="3462" w:type="pct"/>
            <w:gridSpan w:val="2"/>
          </w:tcPr>
          <w:p w:rsidR="000E3D5D" w:rsidRDefault="00C44468">
            <w:pPr>
              <w:spacing w:line="240" w:lineRule="auto"/>
              <w:jc w:val="left"/>
            </w:pPr>
            <w:r>
              <w:rPr>
                <w:rFonts w:ascii="宋体" w:hAnsi="宋体" w:cs="宋体"/>
              </w:rPr>
              <w:t>2021年08月17日</w:t>
            </w:r>
          </w:p>
        </w:tc>
      </w:tr>
      <w:tr w:rsidR="000E3D5D">
        <w:tc>
          <w:tcPr>
            <w:tcW w:w="1537" w:type="pct"/>
          </w:tcPr>
          <w:p w:rsidR="000E3D5D" w:rsidRDefault="00C44468">
            <w:pPr>
              <w:spacing w:line="240" w:lineRule="auto"/>
              <w:jc w:val="left"/>
            </w:pPr>
            <w:r>
              <w:rPr>
                <w:rFonts w:ascii="宋体" w:hAnsi="宋体" w:cs="宋体"/>
              </w:rPr>
              <w:t>基金管理人名称</w:t>
            </w:r>
          </w:p>
        </w:tc>
        <w:tc>
          <w:tcPr>
            <w:tcW w:w="3462" w:type="pct"/>
            <w:gridSpan w:val="2"/>
          </w:tcPr>
          <w:p w:rsidR="000E3D5D" w:rsidRDefault="00C44468">
            <w:pPr>
              <w:spacing w:line="240" w:lineRule="auto"/>
              <w:jc w:val="left"/>
            </w:pPr>
            <w:r>
              <w:rPr>
                <w:rFonts w:ascii="宋体" w:hAnsi="宋体" w:cs="宋体"/>
              </w:rPr>
              <w:t>国新国证基金管理有限公司</w:t>
            </w:r>
          </w:p>
        </w:tc>
      </w:tr>
      <w:tr w:rsidR="000E3D5D">
        <w:tc>
          <w:tcPr>
            <w:tcW w:w="1537" w:type="pct"/>
          </w:tcPr>
          <w:p w:rsidR="000E3D5D" w:rsidRDefault="00C44468">
            <w:pPr>
              <w:spacing w:line="240" w:lineRule="auto"/>
              <w:jc w:val="left"/>
            </w:pPr>
            <w:r>
              <w:rPr>
                <w:rFonts w:ascii="宋体" w:hAnsi="宋体" w:cs="宋体"/>
              </w:rPr>
              <w:t>基金托管人名称</w:t>
            </w:r>
          </w:p>
        </w:tc>
        <w:tc>
          <w:tcPr>
            <w:tcW w:w="3462" w:type="pct"/>
            <w:gridSpan w:val="2"/>
          </w:tcPr>
          <w:p w:rsidR="000E3D5D" w:rsidRDefault="00C44468">
            <w:pPr>
              <w:spacing w:line="240" w:lineRule="auto"/>
              <w:jc w:val="left"/>
            </w:pPr>
            <w:r>
              <w:rPr>
                <w:rFonts w:ascii="宋体" w:hAnsi="宋体" w:cs="宋体"/>
              </w:rPr>
              <w:t>中国农业银行股份有限公司</w:t>
            </w:r>
          </w:p>
        </w:tc>
      </w:tr>
      <w:tr w:rsidR="000E3D5D">
        <w:tc>
          <w:tcPr>
            <w:tcW w:w="1537" w:type="pct"/>
          </w:tcPr>
          <w:p w:rsidR="000E3D5D" w:rsidRDefault="00C44468">
            <w:pPr>
              <w:spacing w:line="240" w:lineRule="auto"/>
              <w:jc w:val="left"/>
            </w:pPr>
            <w:r>
              <w:rPr>
                <w:rFonts w:ascii="宋体" w:hAnsi="宋体" w:cs="宋体"/>
              </w:rPr>
              <w:t>基金注册登记机构名称</w:t>
            </w:r>
          </w:p>
        </w:tc>
        <w:tc>
          <w:tcPr>
            <w:tcW w:w="3462" w:type="pct"/>
            <w:gridSpan w:val="2"/>
          </w:tcPr>
          <w:p w:rsidR="000E3D5D" w:rsidRDefault="00C44468">
            <w:pPr>
              <w:spacing w:line="240" w:lineRule="auto"/>
              <w:jc w:val="left"/>
            </w:pPr>
            <w:r>
              <w:rPr>
                <w:rFonts w:ascii="宋体" w:hAnsi="宋体" w:cs="宋体"/>
              </w:rPr>
              <w:t>国新国证基金管理有限公司</w:t>
            </w:r>
          </w:p>
        </w:tc>
      </w:tr>
      <w:tr w:rsidR="000E3D5D">
        <w:tc>
          <w:tcPr>
            <w:tcW w:w="1537" w:type="pct"/>
          </w:tcPr>
          <w:p w:rsidR="000E3D5D" w:rsidRDefault="00C44468">
            <w:pPr>
              <w:spacing w:line="240" w:lineRule="auto"/>
              <w:jc w:val="left"/>
            </w:pPr>
            <w:r>
              <w:rPr>
                <w:rFonts w:ascii="宋体" w:hAnsi="宋体" w:cs="宋体"/>
              </w:rPr>
              <w:t>公告依据</w:t>
            </w:r>
          </w:p>
        </w:tc>
        <w:tc>
          <w:tcPr>
            <w:tcW w:w="3462" w:type="pct"/>
            <w:gridSpan w:val="2"/>
          </w:tcPr>
          <w:p w:rsidR="000E3D5D" w:rsidRDefault="00C44468">
            <w:pPr>
              <w:spacing w:line="240" w:lineRule="auto"/>
              <w:jc w:val="left"/>
            </w:pPr>
            <w:r>
              <w:rPr>
                <w:rFonts w:ascii="宋体" w:hAnsi="宋体" w:cs="宋体"/>
              </w:rPr>
              <w:t>《中华人民共和国证券投资基金法》《公开募集证券投资基金运作管理办法》《公开募集证券投资基金信息披露管理办法》等法律法规以及《国新国证融泽6个月定期开放灵活配置混合型证券投资基金基金合同》《国新国证融泽6个月定期开放灵活配置混合型证券投资基金招募说明书》等有关规定</w:t>
            </w:r>
          </w:p>
        </w:tc>
      </w:tr>
      <w:tr w:rsidR="000E3D5D">
        <w:tc>
          <w:tcPr>
            <w:tcW w:w="1537" w:type="pct"/>
          </w:tcPr>
          <w:p w:rsidR="000E3D5D" w:rsidRDefault="00C44468">
            <w:pPr>
              <w:spacing w:line="240" w:lineRule="auto"/>
              <w:jc w:val="left"/>
            </w:pPr>
            <w:r>
              <w:rPr>
                <w:rFonts w:ascii="宋体" w:hAnsi="宋体" w:cs="宋体"/>
              </w:rPr>
              <w:t>申购起始日</w:t>
            </w:r>
          </w:p>
        </w:tc>
        <w:tc>
          <w:tcPr>
            <w:tcW w:w="3462" w:type="pct"/>
            <w:gridSpan w:val="2"/>
          </w:tcPr>
          <w:p w:rsidR="000E3D5D" w:rsidRDefault="0073051B" w:rsidP="0073051B">
            <w:pPr>
              <w:spacing w:line="240" w:lineRule="auto"/>
              <w:jc w:val="left"/>
            </w:pPr>
            <w:r>
              <w:rPr>
                <w:rFonts w:ascii="宋体" w:hAnsi="宋体" w:cs="宋体" w:hint="eastAsia"/>
              </w:rPr>
              <w:t>2026年10</w:t>
            </w:r>
            <w:r w:rsidR="00B014FA">
              <w:rPr>
                <w:rFonts w:ascii="宋体" w:hAnsi="宋体" w:cs="宋体" w:hint="eastAsia"/>
              </w:rPr>
              <w:t>月1</w:t>
            </w:r>
            <w:r>
              <w:rPr>
                <w:rFonts w:ascii="宋体" w:hAnsi="宋体" w:cs="宋体" w:hint="eastAsia"/>
              </w:rPr>
              <w:t>5</w:t>
            </w:r>
            <w:r w:rsidR="00B014FA">
              <w:rPr>
                <w:rFonts w:ascii="宋体" w:hAnsi="宋体" w:cs="宋体" w:hint="eastAsia"/>
              </w:rPr>
              <w:t>日</w:t>
            </w:r>
          </w:p>
        </w:tc>
      </w:tr>
      <w:tr w:rsidR="000E3D5D">
        <w:tc>
          <w:tcPr>
            <w:tcW w:w="1537" w:type="pct"/>
          </w:tcPr>
          <w:p w:rsidR="000E3D5D" w:rsidRDefault="00C44468">
            <w:pPr>
              <w:spacing w:line="240" w:lineRule="auto"/>
              <w:jc w:val="left"/>
            </w:pPr>
            <w:r>
              <w:rPr>
                <w:rFonts w:ascii="宋体" w:hAnsi="宋体" w:cs="宋体"/>
              </w:rPr>
              <w:t>赎回起始日</w:t>
            </w:r>
          </w:p>
        </w:tc>
        <w:tc>
          <w:tcPr>
            <w:tcW w:w="3462" w:type="pct"/>
            <w:gridSpan w:val="2"/>
          </w:tcPr>
          <w:p w:rsidR="000E3D5D" w:rsidRDefault="0073051B" w:rsidP="0073051B">
            <w:pPr>
              <w:spacing w:line="240" w:lineRule="auto"/>
              <w:jc w:val="left"/>
            </w:pPr>
            <w:r>
              <w:rPr>
                <w:rFonts w:ascii="宋体" w:hAnsi="宋体" w:cs="宋体" w:hint="eastAsia"/>
              </w:rPr>
              <w:t>2026年10</w:t>
            </w:r>
            <w:r w:rsidR="00B014FA">
              <w:rPr>
                <w:rFonts w:ascii="宋体" w:hAnsi="宋体" w:cs="宋体" w:hint="eastAsia"/>
              </w:rPr>
              <w:t>月</w:t>
            </w:r>
            <w:r>
              <w:rPr>
                <w:rFonts w:ascii="宋体" w:hAnsi="宋体" w:cs="宋体" w:hint="eastAsia"/>
              </w:rPr>
              <w:t>15</w:t>
            </w:r>
            <w:r w:rsidR="00B014FA">
              <w:rPr>
                <w:rFonts w:ascii="宋体" w:hAnsi="宋体" w:cs="宋体" w:hint="eastAsia"/>
              </w:rPr>
              <w:t>日</w:t>
            </w:r>
          </w:p>
        </w:tc>
      </w:tr>
      <w:tr w:rsidR="000E3D5D">
        <w:tc>
          <w:tcPr>
            <w:tcW w:w="1537" w:type="pct"/>
          </w:tcPr>
          <w:p w:rsidR="000E3D5D" w:rsidRDefault="00C44468">
            <w:pPr>
              <w:spacing w:line="240" w:lineRule="auto"/>
              <w:jc w:val="left"/>
            </w:pPr>
            <w:r>
              <w:rPr>
                <w:rFonts w:ascii="宋体" w:hAnsi="宋体" w:cs="宋体"/>
              </w:rPr>
              <w:t>转换转入起始日</w:t>
            </w:r>
          </w:p>
        </w:tc>
        <w:tc>
          <w:tcPr>
            <w:tcW w:w="3462" w:type="pct"/>
            <w:gridSpan w:val="2"/>
          </w:tcPr>
          <w:p w:rsidR="000E3D5D" w:rsidRDefault="0073051B" w:rsidP="0073051B">
            <w:pPr>
              <w:spacing w:line="240" w:lineRule="auto"/>
              <w:jc w:val="left"/>
            </w:pPr>
            <w:r>
              <w:rPr>
                <w:rFonts w:ascii="宋体" w:hAnsi="宋体" w:cs="宋体" w:hint="eastAsia"/>
              </w:rPr>
              <w:t>2026年10</w:t>
            </w:r>
            <w:r w:rsidR="00B014FA">
              <w:rPr>
                <w:rFonts w:ascii="宋体" w:hAnsi="宋体" w:cs="宋体" w:hint="eastAsia"/>
              </w:rPr>
              <w:t>月</w:t>
            </w:r>
            <w:r>
              <w:rPr>
                <w:rFonts w:ascii="宋体" w:hAnsi="宋体" w:cs="宋体" w:hint="eastAsia"/>
              </w:rPr>
              <w:t>15</w:t>
            </w:r>
            <w:r w:rsidR="00B014FA">
              <w:rPr>
                <w:rFonts w:ascii="宋体" w:hAnsi="宋体" w:cs="宋体" w:hint="eastAsia"/>
              </w:rPr>
              <w:t>日</w:t>
            </w:r>
          </w:p>
        </w:tc>
      </w:tr>
      <w:tr w:rsidR="000E3D5D">
        <w:tc>
          <w:tcPr>
            <w:tcW w:w="1537" w:type="pct"/>
          </w:tcPr>
          <w:p w:rsidR="000E3D5D" w:rsidRDefault="00C44468">
            <w:pPr>
              <w:spacing w:line="240" w:lineRule="auto"/>
              <w:jc w:val="left"/>
            </w:pPr>
            <w:r>
              <w:rPr>
                <w:rFonts w:ascii="宋体" w:hAnsi="宋体" w:cs="宋体"/>
              </w:rPr>
              <w:t>转换转出起始日</w:t>
            </w:r>
          </w:p>
        </w:tc>
        <w:tc>
          <w:tcPr>
            <w:tcW w:w="3462" w:type="pct"/>
            <w:gridSpan w:val="2"/>
          </w:tcPr>
          <w:p w:rsidR="000E3D5D" w:rsidRDefault="0073051B" w:rsidP="0073051B">
            <w:pPr>
              <w:spacing w:line="240" w:lineRule="auto"/>
              <w:jc w:val="left"/>
            </w:pPr>
            <w:r>
              <w:rPr>
                <w:rFonts w:ascii="宋体" w:hAnsi="宋体" w:cs="宋体" w:hint="eastAsia"/>
              </w:rPr>
              <w:t>2026年10</w:t>
            </w:r>
            <w:r w:rsidR="00B014FA">
              <w:rPr>
                <w:rFonts w:ascii="宋体" w:hAnsi="宋体" w:cs="宋体" w:hint="eastAsia"/>
              </w:rPr>
              <w:t>月</w:t>
            </w:r>
            <w:r>
              <w:rPr>
                <w:rFonts w:ascii="宋体" w:hAnsi="宋体" w:cs="宋体" w:hint="eastAsia"/>
              </w:rPr>
              <w:t>15</w:t>
            </w:r>
            <w:r w:rsidR="00B014FA">
              <w:rPr>
                <w:rFonts w:ascii="宋体" w:hAnsi="宋体" w:cs="宋体" w:hint="eastAsia"/>
              </w:rPr>
              <w:t>日</w:t>
            </w:r>
          </w:p>
        </w:tc>
      </w:tr>
      <w:tr w:rsidR="000E3D5D">
        <w:tc>
          <w:tcPr>
            <w:tcW w:w="1537" w:type="pct"/>
          </w:tcPr>
          <w:p w:rsidR="000E3D5D" w:rsidRDefault="00C44468">
            <w:pPr>
              <w:spacing w:line="240" w:lineRule="auto"/>
              <w:jc w:val="left"/>
            </w:pPr>
            <w:r>
              <w:rPr>
                <w:rFonts w:ascii="宋体" w:hAnsi="宋体" w:cs="宋体"/>
              </w:rPr>
              <w:t>下属分级基金的基金简称</w:t>
            </w:r>
          </w:p>
        </w:tc>
        <w:tc>
          <w:tcPr>
            <w:tcW w:w="1699" w:type="pct"/>
          </w:tcPr>
          <w:p w:rsidR="000E3D5D" w:rsidRDefault="00C44468">
            <w:pPr>
              <w:spacing w:line="240" w:lineRule="auto"/>
              <w:jc w:val="left"/>
            </w:pPr>
            <w:r>
              <w:rPr>
                <w:rFonts w:ascii="宋体" w:hAnsi="宋体" w:cs="宋体"/>
              </w:rPr>
              <w:t>国新国</w:t>
            </w:r>
            <w:proofErr w:type="gramStart"/>
            <w:r>
              <w:rPr>
                <w:rFonts w:ascii="宋体" w:hAnsi="宋体" w:cs="宋体"/>
              </w:rPr>
              <w:t>证融泽</w:t>
            </w:r>
            <w:proofErr w:type="gramEnd"/>
            <w:r>
              <w:rPr>
                <w:rFonts w:ascii="宋体" w:hAnsi="宋体" w:cs="宋体"/>
              </w:rPr>
              <w:t>6个月定开混合A</w:t>
            </w:r>
          </w:p>
        </w:tc>
        <w:tc>
          <w:tcPr>
            <w:tcW w:w="1762" w:type="pct"/>
          </w:tcPr>
          <w:p w:rsidR="000E3D5D" w:rsidRDefault="00C44468">
            <w:pPr>
              <w:spacing w:line="240" w:lineRule="auto"/>
              <w:jc w:val="left"/>
            </w:pPr>
            <w:r>
              <w:rPr>
                <w:rFonts w:ascii="宋体" w:hAnsi="宋体" w:cs="宋体"/>
              </w:rPr>
              <w:t>国新国</w:t>
            </w:r>
            <w:proofErr w:type="gramStart"/>
            <w:r>
              <w:rPr>
                <w:rFonts w:ascii="宋体" w:hAnsi="宋体" w:cs="宋体"/>
              </w:rPr>
              <w:t>证融泽</w:t>
            </w:r>
            <w:proofErr w:type="gramEnd"/>
            <w:r>
              <w:rPr>
                <w:rFonts w:ascii="宋体" w:hAnsi="宋体" w:cs="宋体"/>
              </w:rPr>
              <w:t>6个月定开混合C</w:t>
            </w:r>
          </w:p>
        </w:tc>
      </w:tr>
      <w:tr w:rsidR="000E3D5D">
        <w:tc>
          <w:tcPr>
            <w:tcW w:w="1537" w:type="pct"/>
          </w:tcPr>
          <w:p w:rsidR="000E3D5D" w:rsidRDefault="00C44468">
            <w:pPr>
              <w:spacing w:line="240" w:lineRule="auto"/>
              <w:jc w:val="left"/>
            </w:pPr>
            <w:r>
              <w:rPr>
                <w:rFonts w:ascii="宋体" w:hAnsi="宋体" w:cs="宋体"/>
              </w:rPr>
              <w:t>下属分级基金的交易代码</w:t>
            </w:r>
          </w:p>
        </w:tc>
        <w:tc>
          <w:tcPr>
            <w:tcW w:w="1699" w:type="pct"/>
          </w:tcPr>
          <w:p w:rsidR="000E3D5D" w:rsidRDefault="00C44468">
            <w:pPr>
              <w:spacing w:line="240" w:lineRule="auto"/>
              <w:jc w:val="left"/>
            </w:pPr>
            <w:r>
              <w:rPr>
                <w:rFonts w:ascii="宋体" w:hAnsi="宋体" w:cs="宋体"/>
              </w:rPr>
              <w:t>012675</w:t>
            </w:r>
          </w:p>
        </w:tc>
        <w:tc>
          <w:tcPr>
            <w:tcW w:w="1762" w:type="pct"/>
          </w:tcPr>
          <w:p w:rsidR="000E3D5D" w:rsidRDefault="00C44468">
            <w:pPr>
              <w:spacing w:line="240" w:lineRule="auto"/>
              <w:jc w:val="left"/>
            </w:pPr>
            <w:r>
              <w:rPr>
                <w:rFonts w:ascii="宋体" w:hAnsi="宋体" w:cs="宋体"/>
              </w:rPr>
              <w:t>012676</w:t>
            </w:r>
          </w:p>
        </w:tc>
      </w:tr>
      <w:tr w:rsidR="000E3D5D">
        <w:tc>
          <w:tcPr>
            <w:tcW w:w="1537" w:type="pct"/>
          </w:tcPr>
          <w:p w:rsidR="000E3D5D" w:rsidRDefault="00C44468">
            <w:pPr>
              <w:spacing w:line="240" w:lineRule="auto"/>
              <w:jc w:val="left"/>
            </w:pPr>
            <w:r>
              <w:rPr>
                <w:rFonts w:ascii="宋体" w:hAnsi="宋体" w:cs="宋体"/>
              </w:rPr>
              <w:t>该分级基金是否开放申购、赎回（转换、定期定额投资）</w:t>
            </w:r>
          </w:p>
        </w:tc>
        <w:tc>
          <w:tcPr>
            <w:tcW w:w="1699" w:type="pct"/>
          </w:tcPr>
          <w:p w:rsidR="000E3D5D" w:rsidRDefault="00C44468">
            <w:pPr>
              <w:spacing w:line="240" w:lineRule="auto"/>
              <w:jc w:val="left"/>
            </w:pPr>
            <w:r>
              <w:rPr>
                <w:rFonts w:ascii="宋体" w:hAnsi="宋体" w:cs="宋体"/>
              </w:rPr>
              <w:t>是</w:t>
            </w:r>
          </w:p>
        </w:tc>
        <w:tc>
          <w:tcPr>
            <w:tcW w:w="1762" w:type="pct"/>
          </w:tcPr>
          <w:p w:rsidR="000E3D5D" w:rsidRDefault="00C44468">
            <w:pPr>
              <w:spacing w:line="240" w:lineRule="auto"/>
              <w:jc w:val="left"/>
            </w:pPr>
            <w:r>
              <w:rPr>
                <w:rFonts w:ascii="宋体" w:hAnsi="宋体" w:cs="宋体"/>
              </w:rPr>
              <w:t>是</w:t>
            </w:r>
          </w:p>
        </w:tc>
      </w:tr>
    </w:tbl>
    <w:p w:rsidR="000E3D5D" w:rsidRDefault="00C44468">
      <w:pPr>
        <w:adjustRightInd w:val="0"/>
        <w:snapToGrid w:val="0"/>
        <w:spacing w:line="360" w:lineRule="auto"/>
        <w:rPr>
          <w:rFonts w:ascii="宋体" w:hAnsi="宋体" w:cs="宋体"/>
        </w:rPr>
      </w:pPr>
      <w:r>
        <w:rPr>
          <w:rFonts w:ascii="宋体" w:hAnsi="宋体" w:cs="宋体"/>
        </w:rPr>
        <w:t>注：1、本基金为定期开放基金，本次开放</w:t>
      </w:r>
      <w:proofErr w:type="gramStart"/>
      <w:r>
        <w:rPr>
          <w:rFonts w:ascii="宋体" w:hAnsi="宋体" w:cs="宋体"/>
        </w:rPr>
        <w:t>期时间</w:t>
      </w:r>
      <w:proofErr w:type="gramEnd"/>
      <w:r>
        <w:rPr>
          <w:rFonts w:ascii="宋体" w:hAnsi="宋体" w:cs="宋体"/>
        </w:rPr>
        <w:t>为</w:t>
      </w:r>
      <w:r w:rsidR="0073051B">
        <w:rPr>
          <w:rFonts w:ascii="宋体" w:hAnsi="宋体" w:cs="宋体" w:hint="eastAsia"/>
        </w:rPr>
        <w:t>2026年10</w:t>
      </w:r>
      <w:r w:rsidR="00B014FA">
        <w:rPr>
          <w:rFonts w:ascii="宋体" w:hAnsi="宋体" w:cs="宋体" w:hint="eastAsia"/>
        </w:rPr>
        <w:t>月1</w:t>
      </w:r>
      <w:r w:rsidR="0073051B">
        <w:rPr>
          <w:rFonts w:ascii="宋体" w:hAnsi="宋体" w:cs="宋体" w:hint="eastAsia"/>
        </w:rPr>
        <w:t>5</w:t>
      </w:r>
      <w:r w:rsidR="00B014FA">
        <w:rPr>
          <w:rFonts w:ascii="宋体" w:hAnsi="宋体" w:cs="宋体" w:hint="eastAsia"/>
        </w:rPr>
        <w:t>日</w:t>
      </w:r>
      <w:r w:rsidR="00B014FA">
        <w:rPr>
          <w:rFonts w:ascii="宋体" w:hAnsi="宋体" w:cs="宋体"/>
        </w:rPr>
        <w:t>至</w:t>
      </w:r>
      <w:r w:rsidR="00B014FA">
        <w:rPr>
          <w:rFonts w:ascii="宋体" w:hAnsi="宋体" w:cs="宋体" w:hint="eastAsia"/>
        </w:rPr>
        <w:t>2026年</w:t>
      </w:r>
      <w:r w:rsidR="0073051B">
        <w:rPr>
          <w:rFonts w:ascii="宋体" w:hAnsi="宋体" w:cs="宋体" w:hint="eastAsia"/>
        </w:rPr>
        <w:t>10</w:t>
      </w:r>
      <w:r w:rsidR="00B014FA">
        <w:rPr>
          <w:rFonts w:ascii="宋体" w:hAnsi="宋体" w:cs="宋体" w:hint="eastAsia"/>
        </w:rPr>
        <w:t>月1</w:t>
      </w:r>
      <w:r w:rsidR="0073051B">
        <w:rPr>
          <w:rFonts w:ascii="宋体" w:hAnsi="宋体" w:cs="宋体" w:hint="eastAsia"/>
        </w:rPr>
        <w:t>9</w:t>
      </w:r>
      <w:r w:rsidR="00B014FA">
        <w:rPr>
          <w:rFonts w:ascii="宋体" w:hAnsi="宋体" w:cs="宋体" w:hint="eastAsia"/>
        </w:rPr>
        <w:t>日</w:t>
      </w:r>
      <w:r>
        <w:rPr>
          <w:rFonts w:ascii="宋体" w:hAnsi="宋体" w:cs="宋体"/>
        </w:rPr>
        <w:t>。开放期内本基金接受申购、赎回、转换等业务申请，不办理定期定额投资业务。</w:t>
      </w:r>
    </w:p>
    <w:p w:rsidR="000E3D5D" w:rsidRDefault="00C44468">
      <w:pPr>
        <w:adjustRightInd w:val="0"/>
        <w:snapToGrid w:val="0"/>
        <w:spacing w:line="360" w:lineRule="auto"/>
      </w:pPr>
      <w:r>
        <w:rPr>
          <w:rFonts w:ascii="宋体" w:hAnsi="宋体" w:cs="宋体"/>
        </w:rPr>
        <w:t>2、本基金自</w:t>
      </w:r>
      <w:r w:rsidR="00B014FA">
        <w:rPr>
          <w:rFonts w:ascii="宋体" w:hAnsi="宋体" w:cs="宋体" w:hint="eastAsia"/>
        </w:rPr>
        <w:t>2026年</w:t>
      </w:r>
      <w:r w:rsidR="0073051B">
        <w:rPr>
          <w:rFonts w:ascii="宋体" w:hAnsi="宋体" w:cs="宋体" w:hint="eastAsia"/>
        </w:rPr>
        <w:t>10</w:t>
      </w:r>
      <w:r w:rsidR="00B014FA">
        <w:rPr>
          <w:rFonts w:ascii="宋体" w:hAnsi="宋体" w:cs="宋体" w:hint="eastAsia"/>
        </w:rPr>
        <w:t>月</w:t>
      </w:r>
      <w:r w:rsidR="0073051B">
        <w:rPr>
          <w:rFonts w:ascii="宋体" w:hAnsi="宋体" w:cs="宋体" w:hint="eastAsia"/>
        </w:rPr>
        <w:t>20</w:t>
      </w:r>
      <w:r w:rsidR="00B014FA">
        <w:rPr>
          <w:rFonts w:ascii="宋体" w:hAnsi="宋体" w:cs="宋体" w:hint="eastAsia"/>
        </w:rPr>
        <w:t>日</w:t>
      </w:r>
      <w:r>
        <w:rPr>
          <w:rFonts w:ascii="宋体" w:hAnsi="宋体" w:cs="宋体"/>
        </w:rPr>
        <w:t>起进入封闭期，封闭期内本基金不接受申购、赎回及转换申请。</w:t>
      </w:r>
    </w:p>
    <w:p w:rsidR="000E3D5D" w:rsidRDefault="00C44468">
      <w:pPr>
        <w:pStyle w:val="1"/>
      </w:pPr>
      <w:r>
        <w:t>2 日常申购、赎回、转换业务的办理时间</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2.1开放日及开放时间</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国新国</w:t>
      </w:r>
      <w:proofErr w:type="gramStart"/>
      <w:r>
        <w:rPr>
          <w:rFonts w:ascii="宋体" w:hAnsi="宋体" w:cs="宋体"/>
        </w:rPr>
        <w:t>证融泽</w:t>
      </w:r>
      <w:proofErr w:type="gramEnd"/>
      <w:r>
        <w:rPr>
          <w:rFonts w:ascii="宋体" w:hAnsi="宋体" w:cs="宋体"/>
        </w:rPr>
        <w:t>6个月定期开放灵活配置混合型证券投资基金（以下简称“本基金”）以定期开放的方式运作，即以封闭期和</w:t>
      </w:r>
      <w:proofErr w:type="gramStart"/>
      <w:r>
        <w:rPr>
          <w:rFonts w:ascii="宋体" w:hAnsi="宋体" w:cs="宋体"/>
        </w:rPr>
        <w:t>开放期相结合</w:t>
      </w:r>
      <w:proofErr w:type="gramEnd"/>
      <w:r>
        <w:rPr>
          <w:rFonts w:ascii="宋体" w:hAnsi="宋体" w:cs="宋体"/>
        </w:rPr>
        <w:t>的方式运作。投资人在开放日办理基金份额的申购、赎回和转换等业务，开放日为开放期内的每个工作日，具体办理时间为上海证券交易所、深圳证券交易所的正常交易日的交易时间，但基金管理人根据法律法规、中国证监会的要求或基金合同的规定公告暂停申购、赎回时除外。封闭期内，本基金不办理申购、赎回和转换等业务，也不上市交易。</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基金合同生效后，若出现新的证券交易市场、证券交易所交易时间变更或其他特殊情况，基金管理人将视情况对前述开放日及开放时间进行相应的调整，但应在实施日前依照《公开募集证券投</w:t>
      </w:r>
      <w:r>
        <w:rPr>
          <w:rFonts w:ascii="宋体" w:hAnsi="宋体" w:cs="宋体"/>
        </w:rPr>
        <w:lastRenderedPageBreak/>
        <w:t>资基金信息披露管理办法》（以下简称“《信息披露办法》”）的有关规定在规定媒介上公告。</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2.2申购、赎回和转换开始日及业务办理时间</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本次开放</w:t>
      </w:r>
      <w:proofErr w:type="gramStart"/>
      <w:r>
        <w:rPr>
          <w:rFonts w:ascii="宋体" w:hAnsi="宋体" w:cs="宋体"/>
        </w:rPr>
        <w:t>期时间</w:t>
      </w:r>
      <w:proofErr w:type="gramEnd"/>
      <w:r>
        <w:rPr>
          <w:rFonts w:ascii="宋体" w:hAnsi="宋体" w:cs="宋体"/>
        </w:rPr>
        <w:t>为</w:t>
      </w:r>
      <w:r w:rsidR="00B014FA" w:rsidRPr="00B014FA">
        <w:rPr>
          <w:rFonts w:ascii="宋体" w:hAnsi="宋体" w:cs="宋体" w:hint="eastAsia"/>
          <w:b/>
        </w:rPr>
        <w:t>2026年</w:t>
      </w:r>
      <w:r w:rsidR="0073051B">
        <w:rPr>
          <w:rFonts w:ascii="宋体" w:hAnsi="宋体" w:cs="宋体" w:hint="eastAsia"/>
          <w:b/>
        </w:rPr>
        <w:t>10</w:t>
      </w:r>
      <w:r w:rsidR="00B014FA" w:rsidRPr="00B014FA">
        <w:rPr>
          <w:rFonts w:ascii="宋体" w:hAnsi="宋体" w:cs="宋体" w:hint="eastAsia"/>
          <w:b/>
        </w:rPr>
        <w:t>月1</w:t>
      </w:r>
      <w:r w:rsidR="0073051B">
        <w:rPr>
          <w:rFonts w:ascii="宋体" w:hAnsi="宋体" w:cs="宋体" w:hint="eastAsia"/>
          <w:b/>
        </w:rPr>
        <w:t>5</w:t>
      </w:r>
      <w:r w:rsidR="00B014FA" w:rsidRPr="00B014FA">
        <w:rPr>
          <w:rFonts w:ascii="宋体" w:hAnsi="宋体" w:cs="宋体" w:hint="eastAsia"/>
          <w:b/>
        </w:rPr>
        <w:t>日</w:t>
      </w:r>
      <w:r w:rsidR="00B014FA" w:rsidRPr="00B014FA">
        <w:rPr>
          <w:rFonts w:ascii="宋体" w:hAnsi="宋体" w:cs="宋体"/>
          <w:b/>
        </w:rPr>
        <w:t>至</w:t>
      </w:r>
      <w:r w:rsidR="00B014FA" w:rsidRPr="00B014FA">
        <w:rPr>
          <w:rFonts w:ascii="宋体" w:hAnsi="宋体" w:cs="宋体" w:hint="eastAsia"/>
          <w:b/>
        </w:rPr>
        <w:t>2026年</w:t>
      </w:r>
      <w:r w:rsidR="0073051B">
        <w:rPr>
          <w:rFonts w:ascii="宋体" w:hAnsi="宋体" w:cs="宋体" w:hint="eastAsia"/>
          <w:b/>
        </w:rPr>
        <w:t>10</w:t>
      </w:r>
      <w:r w:rsidR="00B014FA" w:rsidRPr="00B014FA">
        <w:rPr>
          <w:rFonts w:ascii="宋体" w:hAnsi="宋体" w:cs="宋体" w:hint="eastAsia"/>
          <w:b/>
        </w:rPr>
        <w:t>月1</w:t>
      </w:r>
      <w:r w:rsidR="0073051B">
        <w:rPr>
          <w:rFonts w:ascii="宋体" w:hAnsi="宋体" w:cs="宋体" w:hint="eastAsia"/>
          <w:b/>
        </w:rPr>
        <w:t>9</w:t>
      </w:r>
      <w:r w:rsidR="00B014FA" w:rsidRPr="00B014FA">
        <w:rPr>
          <w:rFonts w:ascii="宋体" w:hAnsi="宋体" w:cs="宋体" w:hint="eastAsia"/>
          <w:b/>
        </w:rPr>
        <w:t>日</w:t>
      </w:r>
      <w:r>
        <w:rPr>
          <w:rFonts w:ascii="宋体" w:hAnsi="宋体" w:cs="宋体"/>
        </w:rPr>
        <w:t>，开放期内本基金接受申购、赎回和转换申请。本基金自</w:t>
      </w:r>
      <w:r w:rsidR="00B014FA" w:rsidRPr="00B014FA">
        <w:rPr>
          <w:rFonts w:ascii="宋体" w:hAnsi="宋体" w:cs="宋体" w:hint="eastAsia"/>
          <w:b/>
        </w:rPr>
        <w:t>2026年</w:t>
      </w:r>
      <w:r w:rsidR="0073051B">
        <w:rPr>
          <w:rFonts w:ascii="宋体" w:hAnsi="宋体" w:cs="宋体" w:hint="eastAsia"/>
          <w:b/>
        </w:rPr>
        <w:t>10</w:t>
      </w:r>
      <w:r w:rsidR="00B014FA" w:rsidRPr="00B014FA">
        <w:rPr>
          <w:rFonts w:ascii="宋体" w:hAnsi="宋体" w:cs="宋体" w:hint="eastAsia"/>
          <w:b/>
        </w:rPr>
        <w:t>月</w:t>
      </w:r>
      <w:r w:rsidR="0073051B">
        <w:rPr>
          <w:rFonts w:ascii="宋体" w:hAnsi="宋体" w:cs="宋体" w:hint="eastAsia"/>
          <w:b/>
        </w:rPr>
        <w:t>20</w:t>
      </w:r>
      <w:r w:rsidR="00B014FA" w:rsidRPr="00B014FA">
        <w:rPr>
          <w:rFonts w:ascii="宋体" w:hAnsi="宋体" w:cs="宋体" w:hint="eastAsia"/>
          <w:b/>
        </w:rPr>
        <w:t>日</w:t>
      </w:r>
      <w:r>
        <w:rPr>
          <w:rFonts w:ascii="宋体" w:hAnsi="宋体" w:cs="宋体"/>
        </w:rPr>
        <w:t>起进入下一个封闭期，封闭期内，本基金不办理申购、赎回和转换等业务，也不上市交易。</w:t>
      </w:r>
    </w:p>
    <w:p w:rsidR="000E3D5D" w:rsidRDefault="00C44468">
      <w:pPr>
        <w:adjustRightInd w:val="0"/>
        <w:snapToGrid w:val="0"/>
        <w:spacing w:line="360" w:lineRule="auto"/>
        <w:ind w:firstLineChars="200" w:firstLine="420"/>
      </w:pPr>
      <w:r>
        <w:rPr>
          <w:rFonts w:ascii="宋体" w:hAnsi="宋体" w:cs="宋体"/>
        </w:rPr>
        <w:t>基金管理人不得在基金合同约定之外的日期或者时间办理基金份额的申购、赎回和转换等业务。在开放期内，投资人在基金合同约定之外的日期和时间提出申购、赎回和转换申请</w:t>
      </w:r>
      <w:proofErr w:type="gramStart"/>
      <w:r>
        <w:rPr>
          <w:rFonts w:ascii="宋体" w:hAnsi="宋体" w:cs="宋体"/>
        </w:rPr>
        <w:t>且登记</w:t>
      </w:r>
      <w:proofErr w:type="gramEnd"/>
      <w:r>
        <w:rPr>
          <w:rFonts w:ascii="宋体" w:hAnsi="宋体" w:cs="宋体"/>
        </w:rPr>
        <w:t>机构确认接受的，其基金份额申购、赎回和转换价格为下一开放日基金份额申购、赎回和转换的价格。但若投资人在开放期最后一个开放</w:t>
      </w:r>
      <w:proofErr w:type="gramStart"/>
      <w:r>
        <w:rPr>
          <w:rFonts w:ascii="宋体" w:hAnsi="宋体" w:cs="宋体"/>
        </w:rPr>
        <w:t>日业务</w:t>
      </w:r>
      <w:proofErr w:type="gramEnd"/>
      <w:r>
        <w:rPr>
          <w:rFonts w:ascii="宋体" w:hAnsi="宋体" w:cs="宋体"/>
        </w:rPr>
        <w:t>办理时间结束之后提出申购、赎回和转换申请的，视为无效申请。</w:t>
      </w:r>
    </w:p>
    <w:p w:rsidR="000E3D5D" w:rsidRDefault="00C44468">
      <w:pPr>
        <w:pStyle w:val="1"/>
        <w:jc w:val="both"/>
      </w:pPr>
      <w:r>
        <w:t>3 日常申购业务</w:t>
      </w:r>
    </w:p>
    <w:p w:rsidR="000E3D5D" w:rsidRDefault="00C44468">
      <w:pPr>
        <w:pStyle w:val="2"/>
        <w:snapToGrid w:val="0"/>
        <w:ind w:firstLineChars="200" w:firstLine="420"/>
        <w:jc w:val="both"/>
        <w:rPr>
          <w:rFonts w:ascii="宋体" w:hAnsi="宋体" w:cs="宋体"/>
          <w:b w:val="0"/>
          <w:bCs w:val="0"/>
          <w:sz w:val="21"/>
          <w:szCs w:val="21"/>
        </w:rPr>
      </w:pPr>
      <w:r>
        <w:rPr>
          <w:rFonts w:ascii="宋体" w:hAnsi="宋体" w:cs="宋体"/>
          <w:b w:val="0"/>
          <w:bCs w:val="0"/>
          <w:sz w:val="21"/>
          <w:szCs w:val="21"/>
        </w:rPr>
        <w:t>3.1申购金额限制</w:t>
      </w:r>
    </w:p>
    <w:p w:rsidR="000E3D5D" w:rsidRDefault="00F178B0">
      <w:pPr>
        <w:adjustRightInd w:val="0"/>
        <w:snapToGrid w:val="0"/>
        <w:spacing w:line="360" w:lineRule="auto"/>
        <w:ind w:firstLineChars="200" w:firstLine="420"/>
      </w:pPr>
      <w:r>
        <w:rPr>
          <w:rFonts w:hint="eastAsia"/>
          <w:color w:val="000000"/>
        </w:rPr>
        <w:t>投资者通过非直销销售机构、基金管理人网上直销系统或基金管理人直销柜台</w:t>
      </w:r>
      <w:r w:rsidR="00C44468">
        <w:rPr>
          <w:rFonts w:ascii="宋体" w:hAnsi="宋体" w:cs="宋体"/>
        </w:rPr>
        <w:t>首次申购本基金的最低限额为人民币1.00元，追加申购单笔最低限额为人民币1.00元。在符合法律法规规定的前提下，各销售机构对申购限额及交易级差有其他规定的，需同时遵循该销售机构的相关规定（以上金额均含申购费）。</w:t>
      </w:r>
      <w:r w:rsidR="00C44468">
        <w:t>投资人将所申购的基金份额当期分配的基金收益转为基金份额时，不受最低申购金额的限制。</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基金管理人可以规定单个投资人累计持有的基金份额上限，单个投资人单日申购金额上限和单笔申</w:t>
      </w:r>
      <w:proofErr w:type="gramStart"/>
      <w:r>
        <w:rPr>
          <w:rFonts w:ascii="宋体" w:hAnsi="宋体" w:cs="宋体"/>
        </w:rPr>
        <w:t>购金额</w:t>
      </w:r>
      <w:proofErr w:type="gramEnd"/>
      <w:r>
        <w:rPr>
          <w:rFonts w:ascii="宋体" w:hAnsi="宋体" w:cs="宋体"/>
        </w:rPr>
        <w:t>上限，具体规定请参见更新的招募说明书或相关公告。本基金单一投资者持有基金份额数不得达到或超过基金份额总数的50%（在基金运作过程中因基金份额赎回等情形导致被动达到或超过50%的除外）。</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基金管理人有权规定本基金的总规模限额，以及单日申购金额上限和净申购比例上限，具体规定请参见更新的招募说明书或相关公告。</w:t>
      </w:r>
    </w:p>
    <w:p w:rsidR="000E3D5D" w:rsidRDefault="00C44468">
      <w:pPr>
        <w:pStyle w:val="2"/>
        <w:snapToGrid w:val="0"/>
        <w:ind w:firstLineChars="200" w:firstLine="420"/>
        <w:jc w:val="both"/>
        <w:rPr>
          <w:rFonts w:ascii="宋体" w:hAnsi="宋体" w:cs="宋体"/>
        </w:rPr>
      </w:pPr>
      <w:r>
        <w:rPr>
          <w:rFonts w:ascii="宋体" w:hAnsi="宋体" w:cs="宋体"/>
          <w:b w:val="0"/>
          <w:sz w:val="21"/>
          <w:szCs w:val="21"/>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更新的招募说明书或相关公告。</w:t>
      </w:r>
    </w:p>
    <w:p w:rsidR="000E3D5D" w:rsidRDefault="00C44468">
      <w:pPr>
        <w:adjustRightInd w:val="0"/>
        <w:snapToGrid w:val="0"/>
        <w:spacing w:line="360" w:lineRule="auto"/>
        <w:ind w:firstLineChars="200" w:firstLine="420"/>
      </w:pPr>
      <w:r>
        <w:rPr>
          <w:rFonts w:ascii="宋体" w:hAnsi="宋体" w:cs="宋体"/>
        </w:rPr>
        <w:t>基金管理人可在法律法规允许的情况下，调整上述规定申购金额的数量限制。基金管理人必须在调整实施前依照《信息披露办法》的有关规定在规定媒介上公告。</w:t>
      </w:r>
    </w:p>
    <w:p w:rsidR="000E3D5D" w:rsidRDefault="00C44468">
      <w:pPr>
        <w:pStyle w:val="2"/>
        <w:snapToGrid w:val="0"/>
        <w:ind w:firstLineChars="200" w:firstLine="420"/>
        <w:jc w:val="both"/>
        <w:rPr>
          <w:rFonts w:ascii="宋体" w:hAnsi="宋体" w:cs="宋体"/>
          <w:b w:val="0"/>
          <w:bCs w:val="0"/>
          <w:sz w:val="21"/>
          <w:szCs w:val="21"/>
        </w:rPr>
      </w:pPr>
      <w:r>
        <w:rPr>
          <w:rFonts w:ascii="宋体" w:hAnsi="宋体" w:cs="宋体"/>
          <w:b w:val="0"/>
          <w:bCs w:val="0"/>
          <w:sz w:val="21"/>
          <w:szCs w:val="21"/>
        </w:rPr>
        <w:t>3.2申购费率</w:t>
      </w:r>
    </w:p>
    <w:p w:rsidR="000E3D5D" w:rsidRPr="00207479" w:rsidRDefault="00C44468" w:rsidP="00207479">
      <w:pPr>
        <w:pStyle w:val="2"/>
        <w:snapToGrid w:val="0"/>
        <w:ind w:firstLineChars="200" w:firstLine="420"/>
        <w:jc w:val="both"/>
        <w:rPr>
          <w:rFonts w:ascii="宋体" w:hAnsi="宋体" w:cs="宋体"/>
          <w:b w:val="0"/>
          <w:sz w:val="21"/>
          <w:szCs w:val="21"/>
        </w:rPr>
      </w:pPr>
      <w:r>
        <w:rPr>
          <w:rFonts w:ascii="宋体" w:hAnsi="宋体" w:cs="宋体"/>
          <w:b w:val="0"/>
          <w:sz w:val="21"/>
          <w:szCs w:val="21"/>
        </w:rPr>
        <w:t>本基金的基金份额分为A类基金份额和C类基金份额两类。其中：A类基金份额收取申购费，并不再从本类别基金资产中计</w:t>
      </w:r>
      <w:proofErr w:type="gramStart"/>
      <w:r>
        <w:rPr>
          <w:rFonts w:ascii="宋体" w:hAnsi="宋体" w:cs="宋体"/>
          <w:b w:val="0"/>
          <w:sz w:val="21"/>
          <w:szCs w:val="21"/>
        </w:rPr>
        <w:t>提销售</w:t>
      </w:r>
      <w:proofErr w:type="gramEnd"/>
      <w:r>
        <w:rPr>
          <w:rFonts w:ascii="宋体" w:hAnsi="宋体" w:cs="宋体"/>
          <w:b w:val="0"/>
          <w:sz w:val="21"/>
          <w:szCs w:val="21"/>
        </w:rPr>
        <w:t>服务费；C类基金份额从本类别基金资产中计</w:t>
      </w:r>
      <w:proofErr w:type="gramStart"/>
      <w:r>
        <w:rPr>
          <w:rFonts w:ascii="宋体" w:hAnsi="宋体" w:cs="宋体"/>
          <w:b w:val="0"/>
          <w:sz w:val="21"/>
          <w:szCs w:val="21"/>
        </w:rPr>
        <w:t>提销售</w:t>
      </w:r>
      <w:proofErr w:type="gramEnd"/>
      <w:r>
        <w:rPr>
          <w:rFonts w:ascii="宋体" w:hAnsi="宋体" w:cs="宋体"/>
          <w:b w:val="0"/>
          <w:sz w:val="21"/>
          <w:szCs w:val="21"/>
        </w:rPr>
        <w:t>服务费、不收取申购费用。本基金可对投资者通过基金管理人网上直销系统申购本基金实行有差别的费率优惠。本基金A类基金份额的申购费率如下：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0E3D5D">
        <w:tc>
          <w:tcPr>
            <w:tcW w:w="2500" w:type="pct"/>
          </w:tcPr>
          <w:p w:rsidR="000E3D5D" w:rsidRDefault="00C44468">
            <w:pPr>
              <w:spacing w:line="240" w:lineRule="auto"/>
              <w:jc w:val="center"/>
            </w:pPr>
            <w:r>
              <w:rPr>
                <w:rFonts w:ascii="宋体" w:hAnsi="宋体" w:cs="宋体"/>
              </w:rPr>
              <w:lastRenderedPageBreak/>
              <w:t>国新国</w:t>
            </w:r>
            <w:proofErr w:type="gramStart"/>
            <w:r>
              <w:rPr>
                <w:rFonts w:ascii="宋体" w:hAnsi="宋体" w:cs="宋体"/>
              </w:rPr>
              <w:t>证融泽</w:t>
            </w:r>
            <w:proofErr w:type="gramEnd"/>
            <w:r>
              <w:rPr>
                <w:rFonts w:ascii="宋体" w:hAnsi="宋体" w:cs="宋体"/>
              </w:rPr>
              <w:t>6个月定开混合A申购金额（M）</w:t>
            </w:r>
          </w:p>
        </w:tc>
        <w:tc>
          <w:tcPr>
            <w:tcW w:w="2500" w:type="pct"/>
          </w:tcPr>
          <w:p w:rsidR="000E3D5D" w:rsidRDefault="00C44468">
            <w:pPr>
              <w:spacing w:line="240" w:lineRule="auto"/>
              <w:jc w:val="center"/>
            </w:pPr>
            <w:r>
              <w:rPr>
                <w:rFonts w:ascii="宋体" w:hAnsi="宋体" w:cs="宋体"/>
              </w:rPr>
              <w:t>申购费率</w:t>
            </w:r>
          </w:p>
        </w:tc>
      </w:tr>
      <w:tr w:rsidR="000E3D5D">
        <w:tc>
          <w:tcPr>
            <w:tcW w:w="2500" w:type="pct"/>
          </w:tcPr>
          <w:p w:rsidR="000E3D5D" w:rsidRDefault="00C44468">
            <w:pPr>
              <w:spacing w:line="240" w:lineRule="auto"/>
              <w:jc w:val="left"/>
            </w:pPr>
            <w:r>
              <w:rPr>
                <w:rFonts w:ascii="宋体" w:hAnsi="宋体" w:cs="宋体"/>
              </w:rPr>
              <w:t>M&lt;100万</w:t>
            </w:r>
          </w:p>
        </w:tc>
        <w:tc>
          <w:tcPr>
            <w:tcW w:w="2500" w:type="pct"/>
          </w:tcPr>
          <w:p w:rsidR="000E3D5D" w:rsidRDefault="00C44468">
            <w:pPr>
              <w:spacing w:line="240" w:lineRule="auto"/>
              <w:jc w:val="right"/>
            </w:pPr>
            <w:r>
              <w:rPr>
                <w:rFonts w:ascii="宋体" w:hAnsi="宋体" w:cs="宋体"/>
              </w:rPr>
              <w:t>0.80%</w:t>
            </w:r>
          </w:p>
        </w:tc>
      </w:tr>
      <w:tr w:rsidR="000E3D5D">
        <w:tc>
          <w:tcPr>
            <w:tcW w:w="2500" w:type="pct"/>
          </w:tcPr>
          <w:p w:rsidR="000E3D5D" w:rsidRDefault="00C44468">
            <w:pPr>
              <w:spacing w:line="240" w:lineRule="auto"/>
              <w:jc w:val="left"/>
            </w:pPr>
            <w:r>
              <w:rPr>
                <w:rFonts w:ascii="宋体" w:hAnsi="宋体" w:cs="宋体"/>
              </w:rPr>
              <w:t>100万≤M&lt;500万</w:t>
            </w:r>
          </w:p>
        </w:tc>
        <w:tc>
          <w:tcPr>
            <w:tcW w:w="2500" w:type="pct"/>
          </w:tcPr>
          <w:p w:rsidR="000E3D5D" w:rsidRDefault="00C44468">
            <w:pPr>
              <w:spacing w:line="240" w:lineRule="auto"/>
              <w:jc w:val="right"/>
            </w:pPr>
            <w:r>
              <w:rPr>
                <w:rFonts w:ascii="宋体" w:hAnsi="宋体" w:cs="宋体"/>
              </w:rPr>
              <w:t>0.60%</w:t>
            </w:r>
          </w:p>
        </w:tc>
      </w:tr>
      <w:tr w:rsidR="000E3D5D">
        <w:tc>
          <w:tcPr>
            <w:tcW w:w="2500" w:type="pct"/>
          </w:tcPr>
          <w:p w:rsidR="000E3D5D" w:rsidRDefault="00C44468">
            <w:pPr>
              <w:spacing w:line="240" w:lineRule="auto"/>
              <w:jc w:val="left"/>
            </w:pPr>
            <w:r>
              <w:rPr>
                <w:rFonts w:ascii="宋体" w:hAnsi="宋体" w:cs="宋体"/>
              </w:rPr>
              <w:t>500万≤M</w:t>
            </w:r>
          </w:p>
        </w:tc>
        <w:tc>
          <w:tcPr>
            <w:tcW w:w="2500" w:type="pct"/>
          </w:tcPr>
          <w:p w:rsidR="000E3D5D" w:rsidRDefault="00C44468">
            <w:pPr>
              <w:spacing w:line="240" w:lineRule="auto"/>
              <w:jc w:val="right"/>
            </w:pPr>
            <w:proofErr w:type="gramStart"/>
            <w:r>
              <w:rPr>
                <w:rFonts w:ascii="宋体" w:hAnsi="宋体" w:cs="宋体"/>
              </w:rPr>
              <w:t>按笔收取</w:t>
            </w:r>
            <w:proofErr w:type="gramEnd"/>
            <w:r>
              <w:rPr>
                <w:rFonts w:ascii="宋体" w:hAnsi="宋体" w:cs="宋体"/>
              </w:rPr>
              <w:t>，1000.00元/笔</w:t>
            </w:r>
          </w:p>
        </w:tc>
      </w:tr>
    </w:tbl>
    <w:p w:rsidR="000E3D5D" w:rsidRDefault="00C44468">
      <w:pPr>
        <w:adjustRightInd w:val="0"/>
        <w:snapToGrid w:val="0"/>
        <w:spacing w:line="360" w:lineRule="auto"/>
        <w:ind w:firstLineChars="200" w:firstLine="420"/>
      </w:pPr>
      <w:r>
        <w:rPr>
          <w:rFonts w:ascii="宋体" w:hAnsi="宋体" w:cs="宋体"/>
        </w:rPr>
        <w:t>注：本基金A类基金份额的申购费用由申购该类基金份额的投资人承担，不列入基金财产，主要用于本基金的市场推广、销售、注册登记等各项费用。</w:t>
      </w:r>
    </w:p>
    <w:p w:rsidR="000E3D5D" w:rsidRDefault="00C44468">
      <w:pPr>
        <w:pStyle w:val="2"/>
        <w:snapToGrid w:val="0"/>
        <w:ind w:firstLineChars="200" w:firstLine="420"/>
        <w:jc w:val="both"/>
        <w:rPr>
          <w:b w:val="0"/>
          <w:sz w:val="21"/>
          <w:szCs w:val="21"/>
        </w:rPr>
      </w:pPr>
      <w:r>
        <w:rPr>
          <w:rFonts w:ascii="宋体" w:hAnsi="宋体" w:cs="宋体"/>
          <w:b w:val="0"/>
          <w:sz w:val="21"/>
          <w:szCs w:val="21"/>
        </w:rPr>
        <w:t>3.3其他与申购相关的事项</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（1）基金管理人可以在基金合同约定的范围内调整费率或收费方式，并最迟应于新的费率或收费方式实施日前依照《信息披露办法》的有关规定在规定媒介上公告。</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2）基金管理人可以在对基金份额持有人利益无实质不利影响且不违反法律法规规定及基金合同约定的情况下根据市场情况制定基金促销计划，针对基金投资者定期和不定期地开展基金促销活动。在基金促销活动期间，基金管理人可以适当调低基金销售费率，或针对特定渠道、特定投资群体开展有差别的费率优惠活动。</w:t>
      </w:r>
    </w:p>
    <w:p w:rsidR="000E3D5D" w:rsidRDefault="00C44468">
      <w:pPr>
        <w:adjustRightInd w:val="0"/>
        <w:snapToGrid w:val="0"/>
        <w:spacing w:line="360" w:lineRule="auto"/>
        <w:ind w:firstLineChars="200" w:firstLine="420"/>
      </w:pPr>
      <w:r>
        <w:rPr>
          <w:rFonts w:ascii="宋体" w:hAnsi="宋体" w:cs="宋体"/>
        </w:rPr>
        <w:t>（3）当本基金发生大额申购情形时，基金管理人可以采用摆动定价机制，以确保基金估值的公平性。具体处理原则与操作规范遵循相关法律法规以及监管部门、自律规则的规定。</w:t>
      </w:r>
    </w:p>
    <w:p w:rsidR="000E3D5D" w:rsidRDefault="00C44468">
      <w:pPr>
        <w:pStyle w:val="1"/>
        <w:jc w:val="both"/>
      </w:pPr>
      <w:r>
        <w:t>4 日常赎回业务</w:t>
      </w:r>
    </w:p>
    <w:p w:rsidR="000E3D5D" w:rsidRDefault="00C44468">
      <w:pPr>
        <w:pStyle w:val="2"/>
        <w:snapToGrid w:val="0"/>
        <w:ind w:firstLineChars="200" w:firstLine="420"/>
        <w:jc w:val="both"/>
        <w:rPr>
          <w:b w:val="0"/>
          <w:sz w:val="21"/>
          <w:szCs w:val="21"/>
        </w:rPr>
      </w:pPr>
      <w:r>
        <w:rPr>
          <w:rFonts w:ascii="宋体" w:hAnsi="宋体" w:cs="宋体"/>
          <w:b w:val="0"/>
          <w:sz w:val="21"/>
          <w:szCs w:val="21"/>
        </w:rPr>
        <w:t>4.1赎回份额限制</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投资者可将其持有的全部或部分基金份额赎回。单笔赎回</w:t>
      </w:r>
      <w:r>
        <w:t>或转换转出</w:t>
      </w:r>
      <w:r>
        <w:rPr>
          <w:rFonts w:ascii="宋体" w:hAnsi="宋体" w:cs="宋体"/>
        </w:rPr>
        <w:t>不得少于1份（如该基金交易账户在该销售机构托管的本基金的基金份额余额不足1份，则必须一次性赎回本基金全部份额）；若某笔赎回</w:t>
      </w:r>
      <w:r>
        <w:t>或转换转出</w:t>
      </w:r>
      <w:r>
        <w:rPr>
          <w:rFonts w:ascii="宋体" w:hAnsi="宋体" w:cs="宋体"/>
        </w:rPr>
        <w:t>将导致投资者在该销售机构托管的本基金的基金份额余额不足1份时，基金管理人有权将投资者在该销售机构托管的本基金剩余份额一次性全部赎回</w:t>
      </w:r>
      <w:r>
        <w:t>或转换转出</w:t>
      </w:r>
      <w:r>
        <w:rPr>
          <w:rFonts w:ascii="宋体" w:hAnsi="宋体" w:cs="宋体"/>
        </w:rPr>
        <w:t>。在符合法律法规规定的前提下，各销售机构对赎回份额限制有其他规定的，需同时遵循该销售机构的相关规定。</w:t>
      </w:r>
    </w:p>
    <w:p w:rsidR="000E3D5D" w:rsidRDefault="00C44468">
      <w:pPr>
        <w:adjustRightInd w:val="0"/>
        <w:snapToGrid w:val="0"/>
        <w:spacing w:line="360" w:lineRule="auto"/>
        <w:ind w:firstLineChars="200" w:firstLine="420"/>
      </w:pPr>
      <w:r>
        <w:rPr>
          <w:rFonts w:ascii="宋体" w:hAnsi="宋体" w:cs="宋体"/>
        </w:rPr>
        <w:t>基金管理人可在法律法规允许的情况下，调整上述规定赎回份额的数量限制。基金管理人必须在调整实施前依照《信息披露办法》的有关规定在规定媒介上公告。</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4.2赎回费率</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本基金在投资者赎回基金份额时对赎回基金份额收取赎回费。本基金A类基金份额和C类基金份额的赎回费用由赎回A类基金份额和C类基金份额的基金份额持有人承担，基金份额持有人可将其持有的全部或部分基金份额赎回。</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对于赎回时份额持有不满30日的，收取的赎回费全额计入基金财产；对于赎回时份额持有满30日不满90日收取的赎回费，将不低于赎回费总额的75%计入基金财产；对于赎回时份额持有满90日不满180日收取的赎回费，将不低于赎回费总额的50%计入基金财产；对持续持有期长于180日的投资人，不收取赎回费。赎回费未归入基金财产的部分用于支付登记费和其他必要的手续费。</w:t>
      </w:r>
    </w:p>
    <w:p w:rsidR="00207479" w:rsidRPr="00207479" w:rsidRDefault="00C44468" w:rsidP="00207479">
      <w:pPr>
        <w:adjustRightInd w:val="0"/>
        <w:snapToGrid w:val="0"/>
        <w:spacing w:line="360" w:lineRule="auto"/>
        <w:ind w:firstLineChars="200" w:firstLine="420"/>
        <w:rPr>
          <w:rFonts w:ascii="宋体" w:hAnsi="宋体" w:cs="宋体"/>
        </w:rPr>
      </w:pPr>
      <w:r>
        <w:rPr>
          <w:rFonts w:ascii="宋体" w:hAnsi="宋体" w:cs="宋体"/>
        </w:rPr>
        <w:t>本基金A类基金份额和C类基金份额的赎回费率如下：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0E3D5D">
        <w:tc>
          <w:tcPr>
            <w:tcW w:w="2308" w:type="pct"/>
          </w:tcPr>
          <w:p w:rsidR="000E3D5D" w:rsidRDefault="00C44468">
            <w:pPr>
              <w:spacing w:line="240" w:lineRule="auto"/>
              <w:jc w:val="center"/>
            </w:pPr>
            <w:r>
              <w:rPr>
                <w:rFonts w:ascii="宋体" w:hAnsi="宋体" w:cs="宋体"/>
              </w:rPr>
              <w:t>国新国</w:t>
            </w:r>
            <w:proofErr w:type="gramStart"/>
            <w:r>
              <w:rPr>
                <w:rFonts w:ascii="宋体" w:hAnsi="宋体" w:cs="宋体"/>
              </w:rPr>
              <w:t>证融泽</w:t>
            </w:r>
            <w:proofErr w:type="gramEnd"/>
            <w:r>
              <w:rPr>
                <w:rFonts w:ascii="宋体" w:hAnsi="宋体" w:cs="宋体"/>
              </w:rPr>
              <w:t>6个月定开混合A持有期限（N）</w:t>
            </w:r>
          </w:p>
        </w:tc>
        <w:tc>
          <w:tcPr>
            <w:tcW w:w="2308" w:type="pct"/>
          </w:tcPr>
          <w:p w:rsidR="000E3D5D" w:rsidRDefault="00C44468">
            <w:pPr>
              <w:spacing w:line="240" w:lineRule="auto"/>
              <w:jc w:val="center"/>
            </w:pPr>
            <w:r>
              <w:rPr>
                <w:rFonts w:ascii="宋体" w:hAnsi="宋体" w:cs="宋体"/>
              </w:rPr>
              <w:t>赎回费率</w:t>
            </w:r>
          </w:p>
        </w:tc>
      </w:tr>
      <w:tr w:rsidR="000E3D5D">
        <w:tc>
          <w:tcPr>
            <w:tcW w:w="2308" w:type="pct"/>
          </w:tcPr>
          <w:p w:rsidR="000E3D5D" w:rsidRDefault="00C44468">
            <w:pPr>
              <w:spacing w:line="240" w:lineRule="auto"/>
              <w:jc w:val="left"/>
            </w:pPr>
            <w:r>
              <w:rPr>
                <w:rFonts w:ascii="宋体" w:hAnsi="宋体" w:cs="宋体"/>
              </w:rPr>
              <w:t>N&lt;7天</w:t>
            </w:r>
          </w:p>
        </w:tc>
        <w:tc>
          <w:tcPr>
            <w:tcW w:w="2308" w:type="pct"/>
          </w:tcPr>
          <w:p w:rsidR="000E3D5D" w:rsidRDefault="00C44468">
            <w:pPr>
              <w:spacing w:line="240" w:lineRule="auto"/>
              <w:jc w:val="right"/>
            </w:pPr>
            <w:r>
              <w:rPr>
                <w:rFonts w:ascii="宋体" w:hAnsi="宋体" w:cs="宋体"/>
              </w:rPr>
              <w:t>1.50%</w:t>
            </w:r>
          </w:p>
        </w:tc>
      </w:tr>
      <w:tr w:rsidR="000E3D5D">
        <w:tc>
          <w:tcPr>
            <w:tcW w:w="2308" w:type="pct"/>
          </w:tcPr>
          <w:p w:rsidR="000E3D5D" w:rsidRDefault="00C44468">
            <w:pPr>
              <w:spacing w:line="240" w:lineRule="auto"/>
              <w:jc w:val="left"/>
            </w:pPr>
            <w:r>
              <w:rPr>
                <w:rFonts w:ascii="宋体" w:hAnsi="宋体" w:cs="宋体"/>
              </w:rPr>
              <w:lastRenderedPageBreak/>
              <w:t>7天≤N&lt;30天</w:t>
            </w:r>
          </w:p>
        </w:tc>
        <w:tc>
          <w:tcPr>
            <w:tcW w:w="2308" w:type="pct"/>
          </w:tcPr>
          <w:p w:rsidR="000E3D5D" w:rsidRDefault="00C44468">
            <w:pPr>
              <w:spacing w:line="240" w:lineRule="auto"/>
              <w:jc w:val="right"/>
            </w:pPr>
            <w:r>
              <w:rPr>
                <w:rFonts w:ascii="宋体" w:hAnsi="宋体" w:cs="宋体"/>
              </w:rPr>
              <w:t>0.75%</w:t>
            </w:r>
          </w:p>
        </w:tc>
      </w:tr>
      <w:tr w:rsidR="000E3D5D">
        <w:tc>
          <w:tcPr>
            <w:tcW w:w="2308" w:type="pct"/>
          </w:tcPr>
          <w:p w:rsidR="000E3D5D" w:rsidRDefault="00C44468">
            <w:pPr>
              <w:spacing w:line="240" w:lineRule="auto"/>
              <w:jc w:val="left"/>
            </w:pPr>
            <w:r>
              <w:rPr>
                <w:rFonts w:ascii="宋体" w:hAnsi="宋体" w:cs="宋体"/>
              </w:rPr>
              <w:t>30天≤N&lt;180天</w:t>
            </w:r>
          </w:p>
        </w:tc>
        <w:tc>
          <w:tcPr>
            <w:tcW w:w="2308" w:type="pct"/>
          </w:tcPr>
          <w:p w:rsidR="000E3D5D" w:rsidRDefault="00C44468">
            <w:pPr>
              <w:spacing w:line="240" w:lineRule="auto"/>
              <w:jc w:val="right"/>
            </w:pPr>
            <w:r>
              <w:rPr>
                <w:rFonts w:ascii="宋体" w:hAnsi="宋体" w:cs="宋体"/>
              </w:rPr>
              <w:t>0.50%</w:t>
            </w:r>
          </w:p>
        </w:tc>
      </w:tr>
      <w:tr w:rsidR="000E3D5D">
        <w:tc>
          <w:tcPr>
            <w:tcW w:w="2308" w:type="pct"/>
          </w:tcPr>
          <w:p w:rsidR="000E3D5D" w:rsidRDefault="00C44468">
            <w:pPr>
              <w:spacing w:line="240" w:lineRule="auto"/>
              <w:jc w:val="left"/>
            </w:pPr>
            <w:r>
              <w:rPr>
                <w:rFonts w:ascii="宋体" w:hAnsi="宋体" w:cs="宋体"/>
              </w:rPr>
              <w:t>180天≤N</w:t>
            </w:r>
          </w:p>
        </w:tc>
        <w:tc>
          <w:tcPr>
            <w:tcW w:w="2308" w:type="pct"/>
          </w:tcPr>
          <w:p w:rsidR="000E3D5D" w:rsidRDefault="00C44468">
            <w:pPr>
              <w:spacing w:line="240" w:lineRule="auto"/>
              <w:jc w:val="right"/>
            </w:pPr>
            <w:r>
              <w:rPr>
                <w:rFonts w:ascii="宋体" w:hAnsi="宋体" w:cs="宋体"/>
              </w:rPr>
              <w:t>0%</w:t>
            </w:r>
          </w:p>
        </w:tc>
      </w:tr>
      <w:tr w:rsidR="000E3D5D">
        <w:tc>
          <w:tcPr>
            <w:tcW w:w="2308" w:type="pct"/>
          </w:tcPr>
          <w:p w:rsidR="000E3D5D" w:rsidRDefault="00C44468">
            <w:pPr>
              <w:spacing w:line="240" w:lineRule="auto"/>
              <w:jc w:val="center"/>
            </w:pPr>
            <w:r>
              <w:rPr>
                <w:rFonts w:ascii="宋体" w:hAnsi="宋体" w:cs="宋体"/>
              </w:rPr>
              <w:t>国新国</w:t>
            </w:r>
            <w:proofErr w:type="gramStart"/>
            <w:r>
              <w:rPr>
                <w:rFonts w:ascii="宋体" w:hAnsi="宋体" w:cs="宋体"/>
              </w:rPr>
              <w:t>证融泽</w:t>
            </w:r>
            <w:proofErr w:type="gramEnd"/>
            <w:r>
              <w:rPr>
                <w:rFonts w:ascii="宋体" w:hAnsi="宋体" w:cs="宋体"/>
              </w:rPr>
              <w:t>6个月定开混合C持有期限（N）</w:t>
            </w:r>
          </w:p>
        </w:tc>
        <w:tc>
          <w:tcPr>
            <w:tcW w:w="2308" w:type="pct"/>
          </w:tcPr>
          <w:p w:rsidR="000E3D5D" w:rsidRDefault="00C44468">
            <w:pPr>
              <w:spacing w:line="240" w:lineRule="auto"/>
              <w:jc w:val="center"/>
            </w:pPr>
            <w:r>
              <w:rPr>
                <w:rFonts w:ascii="宋体" w:hAnsi="宋体" w:cs="宋体"/>
              </w:rPr>
              <w:t>赎回费率</w:t>
            </w:r>
          </w:p>
        </w:tc>
      </w:tr>
      <w:tr w:rsidR="000E3D5D">
        <w:tc>
          <w:tcPr>
            <w:tcW w:w="2308" w:type="pct"/>
          </w:tcPr>
          <w:p w:rsidR="000E3D5D" w:rsidRDefault="00C44468">
            <w:pPr>
              <w:spacing w:line="240" w:lineRule="auto"/>
              <w:jc w:val="left"/>
            </w:pPr>
            <w:r>
              <w:rPr>
                <w:rFonts w:ascii="宋体" w:hAnsi="宋体" w:cs="宋体"/>
              </w:rPr>
              <w:t>N&lt;7天</w:t>
            </w:r>
          </w:p>
        </w:tc>
        <w:tc>
          <w:tcPr>
            <w:tcW w:w="2308" w:type="pct"/>
          </w:tcPr>
          <w:p w:rsidR="000E3D5D" w:rsidRDefault="00C44468">
            <w:pPr>
              <w:spacing w:line="240" w:lineRule="auto"/>
              <w:jc w:val="right"/>
            </w:pPr>
            <w:r>
              <w:rPr>
                <w:rFonts w:ascii="宋体" w:hAnsi="宋体" w:cs="宋体"/>
              </w:rPr>
              <w:t>1.50%</w:t>
            </w:r>
          </w:p>
        </w:tc>
      </w:tr>
      <w:tr w:rsidR="000E3D5D">
        <w:tc>
          <w:tcPr>
            <w:tcW w:w="2308" w:type="pct"/>
          </w:tcPr>
          <w:p w:rsidR="000E3D5D" w:rsidRDefault="00C44468">
            <w:pPr>
              <w:spacing w:line="240" w:lineRule="auto"/>
              <w:jc w:val="left"/>
            </w:pPr>
            <w:r>
              <w:rPr>
                <w:rFonts w:ascii="宋体" w:hAnsi="宋体" w:cs="宋体"/>
              </w:rPr>
              <w:t>7天≤N&lt;30天</w:t>
            </w:r>
          </w:p>
        </w:tc>
        <w:tc>
          <w:tcPr>
            <w:tcW w:w="2308" w:type="pct"/>
          </w:tcPr>
          <w:p w:rsidR="000E3D5D" w:rsidRDefault="00C44468">
            <w:pPr>
              <w:spacing w:line="240" w:lineRule="auto"/>
              <w:jc w:val="right"/>
            </w:pPr>
            <w:r>
              <w:rPr>
                <w:rFonts w:ascii="宋体" w:hAnsi="宋体" w:cs="宋体"/>
              </w:rPr>
              <w:t>0.50%</w:t>
            </w:r>
          </w:p>
        </w:tc>
      </w:tr>
      <w:tr w:rsidR="000E3D5D">
        <w:tc>
          <w:tcPr>
            <w:tcW w:w="2308" w:type="pct"/>
          </w:tcPr>
          <w:p w:rsidR="000E3D5D" w:rsidRDefault="00C44468">
            <w:pPr>
              <w:spacing w:line="240" w:lineRule="auto"/>
              <w:jc w:val="left"/>
            </w:pPr>
            <w:r>
              <w:rPr>
                <w:rFonts w:ascii="宋体" w:hAnsi="宋体" w:cs="宋体"/>
              </w:rPr>
              <w:t>30天≤N</w:t>
            </w:r>
          </w:p>
        </w:tc>
        <w:tc>
          <w:tcPr>
            <w:tcW w:w="2308" w:type="pct"/>
          </w:tcPr>
          <w:p w:rsidR="000E3D5D" w:rsidRDefault="00C44468">
            <w:pPr>
              <w:spacing w:line="240" w:lineRule="auto"/>
              <w:jc w:val="right"/>
            </w:pPr>
            <w:r>
              <w:rPr>
                <w:rFonts w:ascii="宋体" w:hAnsi="宋体" w:cs="宋体"/>
              </w:rPr>
              <w:t>0%</w:t>
            </w:r>
          </w:p>
        </w:tc>
      </w:tr>
    </w:tbl>
    <w:p w:rsidR="000E3D5D" w:rsidRDefault="00C44468">
      <w:pPr>
        <w:pStyle w:val="2"/>
        <w:snapToGrid w:val="0"/>
        <w:ind w:firstLineChars="200" w:firstLine="420"/>
        <w:jc w:val="both"/>
        <w:rPr>
          <w:b w:val="0"/>
          <w:sz w:val="21"/>
          <w:szCs w:val="21"/>
        </w:rPr>
      </w:pPr>
      <w:r>
        <w:rPr>
          <w:rFonts w:ascii="宋体" w:hAnsi="宋体" w:cs="宋体"/>
          <w:b w:val="0"/>
          <w:sz w:val="21"/>
          <w:szCs w:val="21"/>
        </w:rPr>
        <w:t>4.3其他与赎回相关的事项</w:t>
      </w:r>
    </w:p>
    <w:p w:rsidR="000E3D5D" w:rsidRDefault="00C44468">
      <w:pPr>
        <w:adjustRightInd w:val="0"/>
        <w:snapToGrid w:val="0"/>
        <w:spacing w:line="360" w:lineRule="auto"/>
        <w:ind w:firstLine="200"/>
        <w:rPr>
          <w:rFonts w:ascii="宋体" w:hAnsi="宋体" w:cs="宋体"/>
        </w:rPr>
      </w:pPr>
      <w:r>
        <w:rPr>
          <w:rFonts w:ascii="宋体" w:hAnsi="宋体" w:cs="宋体"/>
        </w:rPr>
        <w:t>（1）基金管理人可以在基金合同约定的范围内调整费率或收费方式，并最迟应于新的费率或收费方式实施日前依照《信息披露办法》的有关规定在规定媒介上公告。</w:t>
      </w:r>
    </w:p>
    <w:p w:rsidR="000E3D5D" w:rsidRDefault="00C44468">
      <w:pPr>
        <w:adjustRightInd w:val="0"/>
        <w:snapToGrid w:val="0"/>
        <w:spacing w:line="360" w:lineRule="auto"/>
        <w:ind w:firstLine="200"/>
      </w:pPr>
      <w:r>
        <w:rPr>
          <w:rFonts w:ascii="宋体" w:hAnsi="宋体" w:cs="宋体"/>
        </w:rPr>
        <w:t>（2）</w:t>
      </w:r>
      <w:r>
        <w:t>基金管理人可以在对基金份额持有人利益无实质不利影响且不违反法律法规规定及基金合同约定的情况下根据市场情况制定基金促销计划，针对基金投资者定期和不定期地开展基金促销活动。在基金促销活动期间，基金管理人可以适当调低基金销售费率，或针对特定渠道、特定投资群体开展有差别的费率优惠活动。</w:t>
      </w:r>
    </w:p>
    <w:p w:rsidR="000E3D5D" w:rsidRDefault="00C44468">
      <w:pPr>
        <w:adjustRightInd w:val="0"/>
        <w:snapToGrid w:val="0"/>
        <w:spacing w:line="360" w:lineRule="auto"/>
        <w:ind w:firstLine="200"/>
      </w:pPr>
      <w:r>
        <w:rPr>
          <w:rFonts w:hint="eastAsia"/>
        </w:rPr>
        <w:t>（</w:t>
      </w:r>
      <w:r>
        <w:rPr>
          <w:rFonts w:hint="eastAsia"/>
        </w:rPr>
        <w:t>3</w:t>
      </w:r>
      <w:r>
        <w:rPr>
          <w:rFonts w:hint="eastAsia"/>
        </w:rPr>
        <w:t>）</w:t>
      </w:r>
      <w:r>
        <w:rPr>
          <w:rFonts w:ascii="宋体" w:hAnsi="宋体" w:cs="宋体"/>
        </w:rPr>
        <w:t>当本基金发生大额赎回情形时，基金管理人可以采用摆动定价机制，以确保基金估值的公平性。具体处理原则与操作规范遵循相关法律法规以及监管部门、自律规则的规定。</w:t>
      </w:r>
    </w:p>
    <w:p w:rsidR="000E3D5D" w:rsidRDefault="00C44468">
      <w:pPr>
        <w:pStyle w:val="1"/>
        <w:jc w:val="both"/>
      </w:pPr>
      <w:r>
        <w:t>5 日常转换业务</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5.1转换费率</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本基金开通与以本公司作为注册登记机构且已开通基金转换业务的开放式基金之间的转换业务。在此次开放期内，本基金可与国新国证新锐灵活配置混合型证券投资基金</w:t>
      </w:r>
      <w:r w:rsidR="00F178B0" w:rsidRPr="00F178B0">
        <w:rPr>
          <w:rFonts w:ascii="宋体" w:hAnsi="宋体" w:cs="宋体" w:hint="eastAsia"/>
          <w:b w:val="0"/>
          <w:sz w:val="21"/>
          <w:szCs w:val="21"/>
        </w:rPr>
        <w:t>（基金代码：A类001068、C类024224）</w:t>
      </w:r>
      <w:r>
        <w:rPr>
          <w:rFonts w:ascii="宋体" w:hAnsi="宋体" w:cs="宋体"/>
          <w:b w:val="0"/>
          <w:sz w:val="21"/>
          <w:szCs w:val="21"/>
        </w:rPr>
        <w:t>、国新国证新利灵活配置混合型证券投资基金</w:t>
      </w:r>
      <w:r w:rsidR="00F178B0" w:rsidRPr="00F178B0">
        <w:rPr>
          <w:rFonts w:ascii="宋体" w:hAnsi="宋体" w:cs="宋体" w:hint="eastAsia"/>
          <w:b w:val="0"/>
          <w:sz w:val="21"/>
          <w:szCs w:val="21"/>
        </w:rPr>
        <w:t>（基金代码：A类001797、C类024229）</w:t>
      </w:r>
      <w:r w:rsidRPr="00F178B0">
        <w:rPr>
          <w:rFonts w:ascii="宋体" w:hAnsi="宋体" w:cs="宋体" w:hint="eastAsia"/>
          <w:b w:val="0"/>
          <w:sz w:val="21"/>
          <w:szCs w:val="21"/>
        </w:rPr>
        <w:t>、</w:t>
      </w:r>
      <w:r>
        <w:rPr>
          <w:rFonts w:ascii="宋体" w:hAnsi="宋体" w:cs="宋体"/>
          <w:b w:val="0"/>
          <w:sz w:val="21"/>
          <w:szCs w:val="21"/>
        </w:rPr>
        <w:t>国新国证现金增利货币市场基金A类和B类（基金代码：A类000785、B类000786）、国新国证</w:t>
      </w:r>
      <w:proofErr w:type="gramStart"/>
      <w:r>
        <w:rPr>
          <w:rFonts w:ascii="宋体" w:hAnsi="宋体" w:cs="宋体"/>
          <w:b w:val="0"/>
          <w:sz w:val="21"/>
          <w:szCs w:val="21"/>
        </w:rPr>
        <w:t>鑫颐</w:t>
      </w:r>
      <w:proofErr w:type="gramEnd"/>
      <w:r>
        <w:rPr>
          <w:rFonts w:ascii="宋体" w:hAnsi="宋体" w:cs="宋体"/>
          <w:b w:val="0"/>
          <w:sz w:val="21"/>
          <w:szCs w:val="21"/>
        </w:rPr>
        <w:t>中短债债券型证券投资基金（基金代码：A类016838、C类016839）</w:t>
      </w:r>
      <w:r>
        <w:rPr>
          <w:rFonts w:ascii="宋体" w:hAnsi="宋体" w:cs="宋体" w:hint="eastAsia"/>
          <w:b w:val="0"/>
          <w:sz w:val="21"/>
          <w:szCs w:val="21"/>
        </w:rPr>
        <w:t>、国新国证</w:t>
      </w:r>
      <w:proofErr w:type="gramStart"/>
      <w:r>
        <w:rPr>
          <w:rFonts w:ascii="宋体" w:hAnsi="宋体" w:cs="宋体" w:hint="eastAsia"/>
          <w:b w:val="0"/>
          <w:sz w:val="21"/>
          <w:szCs w:val="21"/>
        </w:rPr>
        <w:t>鑫</w:t>
      </w:r>
      <w:proofErr w:type="gramEnd"/>
      <w:r>
        <w:rPr>
          <w:rFonts w:ascii="宋体" w:hAnsi="宋体" w:cs="宋体" w:hint="eastAsia"/>
          <w:b w:val="0"/>
          <w:sz w:val="21"/>
          <w:szCs w:val="21"/>
        </w:rPr>
        <w:t>和利率债债券型证券投资基金（基金代码：A类019537、C类019538）、</w:t>
      </w:r>
      <w:proofErr w:type="gramStart"/>
      <w:r>
        <w:rPr>
          <w:rFonts w:ascii="宋体" w:hAnsi="宋体" w:cs="宋体"/>
          <w:b w:val="0"/>
          <w:sz w:val="21"/>
          <w:szCs w:val="21"/>
        </w:rPr>
        <w:t>国新国证汇铭</w:t>
      </w:r>
      <w:proofErr w:type="gramEnd"/>
      <w:r>
        <w:rPr>
          <w:rFonts w:ascii="宋体" w:hAnsi="宋体" w:cs="宋体"/>
          <w:b w:val="0"/>
          <w:sz w:val="21"/>
          <w:szCs w:val="21"/>
        </w:rPr>
        <w:t>债券型证券投资基金（基金代码：A类020736、C类020737）等互相转换。</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（1）基金转换费用的构成</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基金转换费用由转出基金赎回费和申购费补差两部分构成。具体收取情况视每次转换时不同基金的申购费率和赎回费率的差异情况而定。基金转换费用由投资者承担。</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（2）基金转换费用的计算</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1）转出基金赎回费</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在进行基金转换时,转出基金视同赎回申请,如涉及的转出基金有赎回费率,则收取该基金的赎回费用。赎回费用计入基金财产比例遵循转出基金招募说明书的约定。同一笔转换业务中包含不同持有时间的基金份额，分别按照持有时间收取相应的赎回费用。</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2）申购费补差</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两只开放式基金(包括申购费为零的基金)之间进行转换的,按照转出基金以及转入基金各自对</w:t>
      </w:r>
      <w:r>
        <w:rPr>
          <w:rFonts w:ascii="宋体" w:hAnsi="宋体" w:cs="宋体"/>
          <w:b w:val="0"/>
          <w:sz w:val="21"/>
          <w:szCs w:val="21"/>
        </w:rPr>
        <w:lastRenderedPageBreak/>
        <w:t>应的申购费率分别计算转换申请日转出基金和转入基金的申购费。如转入基金的申购费大于转出基金的申购费,则按差额收取申购费补差。如转入基金的申购费小于等于转出基金的申购费,则不收取申购补差费。本公司旗下基金的申购费率详见各基金的招募说明书及相关公告。</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3）转换公式及其计算</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①基金转出时赎回费的计算</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转出金额=转出份额×转出基金当日基金份额净值</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转出基金赎回费=转出金额×转出基金赎回费率</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转出净额=转出金额-转出基金赎回费</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②基金转入时申购补差费的计算</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计算补差费金额=(转出份额-再投资份额)×转出基金当日基金份额净值-(基金赎回费-再投资份额赎回费)</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申购补差费=Max{【计算补差费金额/(1+转入基金申购费率)】×转入基金申购费率-【计算补差费金额/(1+转出基金申购费率)】×转出基金申购费率,0}</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如果转入基金申购费适用固定费用,则转入基金申购费=转入基金固定申购费。如果转出基金申购费适用固定费用,则转出基金申购费=转出基金固定申购费。</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③转入份额的计算</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净转入金额=转出金额-转出基金赎回费-申购补差费</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转入份额=净转入金额÷转入基金当日基金份额净值</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转入份额按照四舍五入的方法保留小数点后两位,由此产生的误差归入基金财产。</w:t>
      </w:r>
    </w:p>
    <w:p w:rsidR="000E3D5D" w:rsidRDefault="00C44468">
      <w:pPr>
        <w:pStyle w:val="2"/>
        <w:snapToGrid w:val="0"/>
        <w:ind w:firstLineChars="200" w:firstLine="420"/>
        <w:jc w:val="both"/>
        <w:rPr>
          <w:b w:val="0"/>
          <w:sz w:val="21"/>
          <w:szCs w:val="21"/>
        </w:rPr>
      </w:pPr>
      <w:r>
        <w:rPr>
          <w:rFonts w:ascii="宋体" w:hAnsi="宋体" w:cs="宋体"/>
          <w:b w:val="0"/>
          <w:sz w:val="21"/>
          <w:szCs w:val="21"/>
        </w:rPr>
        <w:t>计算基金转换费用所涉及的申购费率和赎回费率均按基金合同、更新的招募说明书规定费率执行，对于本公司费率优惠活动期间发生的基金转换业务，按照本公司最新公告的相关优惠费率计算基金转换费用。</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5.2其他与转换相关的事项</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（1）基金转换的业务规则</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1）本公司旗下基金办理日常转换的开放日为上海证券交易所和深圳证券交易所交易日（本公司公告暂停申购或转换时除外）。由于各基金销售机构系统及业务安排等原因，开放日的具体交易时间可能有所不同，投资者应参照各基金销售机构的具体规定。</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2）投资者办理基金转换业务时，转出方的基金必须处于可赎回状态，转入方的基金必须处于可申购状态。如果涉及转换的基金有一只不处于开放状态，基金转换申请处理为失败。</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3）基金转换以份额为单位进行申请，遵循“先进先出”的原则，即份额注册日期在前的先转换出，份额注册日期在后的后转换出，如果转换申请当日，同时有赎回申请的情况下，则遵循先赎回后转换的处理原则。基金份额持有人可以发起多次基金转换业务，基金转换费用按每笔申请单独计算。</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4）基金转换采用未知价法，即转出/转入基金的成交价格以申请当日转出基金的基金份额净值</w:t>
      </w:r>
      <w:r>
        <w:rPr>
          <w:rFonts w:ascii="宋体" w:hAnsi="宋体" w:cs="宋体"/>
          <w:b w:val="0"/>
          <w:sz w:val="21"/>
          <w:szCs w:val="21"/>
        </w:rPr>
        <w:lastRenderedPageBreak/>
        <w:t>为计算基准，投资者在办理基金转换时，须缴纳一定的转换费用。具体的转换费用收取方式，参见各《招募说明书》或相关公告。</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5）基金管理人可对投资者转换份额进行合理限额规定。基金管理人在不影响基金持有人实际利益的前提下，可根据市场情况调整转换份额限制。销售机构有不同规定的,投资者在销售机构办理相关业务时,需遵循该销售机构的相关规定。</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6）基金账户或份额冻结期间，基金转换申请无效。</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7）投资者提交基金转换，基金注册登记机构将按《基金合同》约定的日期对投资者的基金转换业务申请进行确认，办理转出基金的权益扣除以及转入基金的权益登记。在确认日的下一个工作后(包括该日)投资者可向销售机构查询基金转换的成交情况。</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8）投资者在申请基金转换转出时，可对其持有的全部或部分基金份额转换转出，在单一销售机构处转换转出的基金份额仅限于在该销售机构处持有的基金份额。如单只基金设有不同的收费方式，如前/后端收费，则投资者在申请转换转出时，应指定转出份额的收费方式归属，每种收费方式下可转出的份额仅限于在该销售机构持有的该收费（前端收费或后端收费）方式下持有的基金份额。</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9）单个开放日的基金份额净赎回申请（赎回申请份额总数加上基金转换中转出申请份额总数后扣除申购申请份额总数及基金转换中转入申请份额总数后的余额）超过前一工作日的基金总份额的20%，为巨额赎回。当基金出现巨额赎回时，基金管理人可以根据基金当时的资产组合状况决定全额赎回、延缓支付赎回款项或延期办理。</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10）持有人对转入基金的持有期限自转入确认之日算起。</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（2）基金转换的程序</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1）基金转换的申请方式</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基金投资者必须根据基金管理人和基金代销机构规定的手续，在开放日的业务办理时间提出转换的申请。投资者提交基金转换申请时，账户中必须有足够可用的转出基金份额余额。投资者可在任一同时销售拟转出基金及转入基金的销售机构处办理基金转换。基金转换只能在同一销售机构进行。转换的两只基金必须都是该销售机构代理的同一基金管理人管理的、在同一基金注册登记机构处注册的基金。</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2）基金转换申请的确认</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当日的转换申请可以在当日交易结束时间前撤销，在当日的交易时间结束后不得撤销。基金管理人应以在规定的基金业务办理时间段内收到基金转换申请的当天作为基金转换的申请日（T日），并在T+1日对该交易的有效性进行确认。投资者可在T+2日及之后查询成交情况。</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投资者申请基金转换成功后，基金注册登记机构在T＋1日为投资者办理减少转出基金份额、增加转入基金份额的权益登记手续。一般情况下，投资者自T＋2日起有权赎回转入部分的基金份额。</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（3）基金转换的数额限制</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基金转换时，由本基金转换到基金管理人管理的其他开放式基金时，最低转出份额为1份基金份额。但若有代销机构特别约定单笔转换份额最低限额并已经发布临时公告，则以该等公告为准。</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lastRenderedPageBreak/>
        <w:t>（4）暂停基金转换的情形及处理</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出现下列情况之一时，基金管理人可以暂停基金转换业务：</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1）不可抗力的原因导致基金无法正常运作。</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2）证券交易场所在交易时间非正常停市，导致基金管理人无法计算当日基金资产净值。</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3）因市场剧烈波动或其它原因而出现连续巨额赎回，基金管理人认为有必要暂停接受该基金单位的转出申请。</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4）法律、法规、规章规定的其它情形或其它在《基金合同》《招募说明书》已载明并获中国证监会批准的特殊情形。</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5）发生上述情形之一的基金管理人应立即向中国证监会备案并依照《信息披露办法》的有关规定在规定媒介上公告。重新开放基金转换时，基金管理人依照《信息披露办法》的有关规定在规定媒介上公告。</w:t>
      </w:r>
    </w:p>
    <w:p w:rsidR="000E3D5D" w:rsidRDefault="00C44468">
      <w:pPr>
        <w:pStyle w:val="2"/>
        <w:snapToGrid w:val="0"/>
        <w:ind w:firstLineChars="200" w:firstLine="420"/>
        <w:jc w:val="both"/>
        <w:rPr>
          <w:rFonts w:ascii="宋体" w:hAnsi="宋体" w:cs="宋体"/>
          <w:b w:val="0"/>
          <w:sz w:val="21"/>
          <w:szCs w:val="21"/>
        </w:rPr>
      </w:pPr>
      <w:r>
        <w:rPr>
          <w:rFonts w:ascii="宋体" w:hAnsi="宋体" w:cs="宋体"/>
          <w:b w:val="0"/>
          <w:sz w:val="21"/>
          <w:szCs w:val="21"/>
        </w:rPr>
        <w:t>本公司有权根据法律法规变化或市场情况等调整上述转换的程序及有关限制，在调整实施前依照《信息披露办法》的有关规定在规定媒介上公告。</w:t>
      </w:r>
    </w:p>
    <w:p w:rsidR="000E3D5D" w:rsidRDefault="00C44468">
      <w:pPr>
        <w:pStyle w:val="1"/>
        <w:jc w:val="both"/>
      </w:pPr>
      <w:r>
        <w:t>6 基金销售机构</w:t>
      </w:r>
    </w:p>
    <w:p w:rsidR="000E3D5D" w:rsidRDefault="00C44468">
      <w:pPr>
        <w:pStyle w:val="2"/>
        <w:snapToGrid w:val="0"/>
        <w:ind w:firstLineChars="200" w:firstLine="420"/>
        <w:jc w:val="both"/>
        <w:rPr>
          <w:b w:val="0"/>
          <w:sz w:val="21"/>
          <w:szCs w:val="21"/>
        </w:rPr>
      </w:pPr>
      <w:r>
        <w:rPr>
          <w:rFonts w:ascii="宋体" w:hAnsi="宋体" w:cs="宋体" w:hint="eastAsia"/>
          <w:b w:val="0"/>
          <w:sz w:val="21"/>
          <w:szCs w:val="21"/>
        </w:rPr>
        <w:t>6</w:t>
      </w:r>
      <w:r>
        <w:rPr>
          <w:rFonts w:ascii="宋体" w:hAnsi="宋体" w:cs="宋体"/>
          <w:b w:val="0"/>
          <w:sz w:val="21"/>
          <w:szCs w:val="21"/>
        </w:rPr>
        <w:t>.1</w:t>
      </w:r>
      <w:r>
        <w:rPr>
          <w:rFonts w:ascii="宋体" w:hAnsi="宋体" w:cs="宋体" w:hint="eastAsia"/>
          <w:b w:val="0"/>
          <w:sz w:val="21"/>
          <w:szCs w:val="21"/>
        </w:rPr>
        <w:t>直销</w:t>
      </w:r>
      <w:r>
        <w:rPr>
          <w:rFonts w:ascii="宋体" w:hAnsi="宋体" w:cs="宋体"/>
          <w:b w:val="0"/>
          <w:sz w:val="21"/>
          <w:szCs w:val="21"/>
        </w:rPr>
        <w:t>机构</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（1）国新国证基金管理有限公司直销柜台</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住所：</w:t>
      </w:r>
      <w:r>
        <w:t>中国（河北）自由贸易试验区</w:t>
      </w:r>
      <w:proofErr w:type="gramStart"/>
      <w:r>
        <w:t>雄安片区容城县雄安市民</w:t>
      </w:r>
      <w:proofErr w:type="gramEnd"/>
      <w:r>
        <w:t>服务中心企业办公区</w:t>
      </w:r>
      <w:r>
        <w:t>C</w:t>
      </w:r>
      <w:r>
        <w:t>栋</w:t>
      </w:r>
      <w:r>
        <w:t>106</w:t>
      </w:r>
      <w:r>
        <w:t>室</w:t>
      </w:r>
      <w:r>
        <w:t>-00094</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办公地址：北京市朝阳门北大街18号中国人保寿险大厦11层</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法定代表人：</w:t>
      </w:r>
      <w:r w:rsidR="00F178B0">
        <w:rPr>
          <w:rFonts w:ascii="宋体" w:hAnsi="宋体" w:cs="宋体" w:hint="eastAsia"/>
        </w:rPr>
        <w:t>张涵宇</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客服电话：400-819-0789</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传真：010-59315600</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联系人：</w:t>
      </w:r>
      <w:r w:rsidR="00F178B0">
        <w:rPr>
          <w:rFonts w:hint="eastAsia"/>
        </w:rPr>
        <w:t>尹旭航</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联系电话：010-</w:t>
      </w:r>
      <w:r w:rsidR="00F178B0">
        <w:rPr>
          <w:rFonts w:ascii="宋体" w:hAnsi="宋体" w:cs="宋体"/>
        </w:rPr>
        <w:t>593156</w:t>
      </w:r>
      <w:r w:rsidR="00F178B0">
        <w:rPr>
          <w:rFonts w:ascii="宋体" w:hAnsi="宋体" w:cs="宋体" w:hint="eastAsia"/>
        </w:rPr>
        <w:t>93</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网址：www.crsfund.com.cn</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（2）国新国证基金管理有限公司网上直销系统</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交易网站：www.crsfund.com.cn</w:t>
      </w:r>
    </w:p>
    <w:p w:rsidR="000E3D5D" w:rsidRDefault="00C44468">
      <w:pPr>
        <w:adjustRightInd w:val="0"/>
        <w:snapToGrid w:val="0"/>
        <w:spacing w:line="360" w:lineRule="auto"/>
        <w:ind w:firstLineChars="200" w:firstLine="420"/>
      </w:pPr>
      <w:r>
        <w:rPr>
          <w:rFonts w:ascii="宋体" w:hAnsi="宋体" w:cs="宋体"/>
        </w:rPr>
        <w:t>客服电话：400-819-0789（免长途话费）</w:t>
      </w:r>
    </w:p>
    <w:p w:rsidR="000E3D5D" w:rsidRDefault="00C44468">
      <w:pPr>
        <w:adjustRightInd w:val="0"/>
        <w:snapToGrid w:val="0"/>
        <w:spacing w:line="360" w:lineRule="auto"/>
        <w:ind w:firstLineChars="200" w:firstLine="420"/>
        <w:rPr>
          <w:rFonts w:ascii="宋体" w:hAnsi="宋体" w:cs="宋体"/>
        </w:rPr>
      </w:pPr>
      <w:r>
        <w:rPr>
          <w:rFonts w:ascii="宋体" w:hAnsi="宋体" w:cs="宋体" w:hint="eastAsia"/>
        </w:rPr>
        <w:t>6</w:t>
      </w:r>
      <w:r>
        <w:rPr>
          <w:rFonts w:ascii="宋体" w:hAnsi="宋体" w:cs="宋体"/>
        </w:rPr>
        <w:t>.2非直销机构</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本基金非直销销售机构信息详见基金管理人网站公示，敬请投资者留意。基金管理人可不时变更或增减销售机构，并在基金管理人网站公示。</w:t>
      </w:r>
    </w:p>
    <w:p w:rsidR="000E3D5D" w:rsidRDefault="00C44468">
      <w:pPr>
        <w:pStyle w:val="1"/>
        <w:jc w:val="both"/>
      </w:pPr>
      <w:r>
        <w:rPr>
          <w:rFonts w:hint="eastAsia"/>
        </w:rPr>
        <w:t>7</w:t>
      </w:r>
      <w:r>
        <w:t xml:space="preserve"> 基金份额净值公告/基金收益公告的披露安排</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在开放期内，基金管理人应当在不晚于每个开放日的次日，通过规定网站、基金销售机构网站或者营业网点披露开放日的基金份额净值和基金份额累计净值。</w:t>
      </w:r>
    </w:p>
    <w:p w:rsidR="000E3D5D" w:rsidRDefault="00C44468">
      <w:pPr>
        <w:pStyle w:val="1"/>
        <w:jc w:val="both"/>
      </w:pPr>
      <w:r>
        <w:rPr>
          <w:rFonts w:hint="eastAsia"/>
        </w:rPr>
        <w:lastRenderedPageBreak/>
        <w:t>8</w:t>
      </w:r>
      <w:r>
        <w:t xml:space="preserve"> 其他需要提示的事项</w:t>
      </w:r>
    </w:p>
    <w:p w:rsidR="000E3D5D" w:rsidRDefault="00C44468">
      <w:pPr>
        <w:adjustRightInd w:val="0"/>
        <w:snapToGrid w:val="0"/>
        <w:spacing w:line="360" w:lineRule="auto"/>
        <w:ind w:firstLineChars="200" w:firstLine="420"/>
        <w:rPr>
          <w:rFonts w:ascii="宋体" w:hAnsi="宋体" w:cs="宋体"/>
        </w:rPr>
      </w:pPr>
      <w:r>
        <w:rPr>
          <w:rFonts w:ascii="宋体" w:hAnsi="宋体" w:cs="宋体" w:hint="eastAsia"/>
        </w:rPr>
        <w:t>8</w:t>
      </w:r>
      <w:r>
        <w:rPr>
          <w:rFonts w:ascii="宋体" w:hAnsi="宋体" w:cs="宋体"/>
        </w:rPr>
        <w:t>.1申购和赎回的申请方式</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投资人必须根据销售机构规定的程序，在开放日的具体业务办理时间内提出申购或赎回的申请。</w:t>
      </w:r>
    </w:p>
    <w:p w:rsidR="000E3D5D" w:rsidRDefault="00C44468">
      <w:pPr>
        <w:adjustRightInd w:val="0"/>
        <w:snapToGrid w:val="0"/>
        <w:spacing w:line="360" w:lineRule="auto"/>
        <w:ind w:firstLineChars="200" w:firstLine="420"/>
        <w:rPr>
          <w:rFonts w:ascii="宋体" w:hAnsi="宋体" w:cs="宋体"/>
        </w:rPr>
      </w:pPr>
      <w:r>
        <w:rPr>
          <w:rFonts w:ascii="宋体" w:hAnsi="宋体" w:cs="宋体" w:hint="eastAsia"/>
        </w:rPr>
        <w:t>8</w:t>
      </w:r>
      <w:r>
        <w:rPr>
          <w:rFonts w:ascii="宋体" w:hAnsi="宋体" w:cs="宋体"/>
        </w:rPr>
        <w:t>.2申购和赎回的款项支付</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投资人申购基金份额时，必须全额交付申购款项，投资人交付申购款项，申购成立；基金份额登记机构确认基金份额时，申购生效。</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基金份额持有人递交赎回申请，赎回成立；基金份额登记机构确认赎回时，赎回生效。投资者赎回申请生效后，基金管理人将在T</w:t>
      </w:r>
      <w:r>
        <w:rPr>
          <w:rFonts w:ascii="宋体" w:hAnsi="宋体" w:cs="宋体" w:hint="eastAsia"/>
        </w:rPr>
        <w:t>+</w:t>
      </w:r>
      <w:r>
        <w:rPr>
          <w:rFonts w:ascii="宋体" w:hAnsi="宋体" w:cs="宋体"/>
        </w:rPr>
        <w:t>7日（包括该日）内支付赎回款项。在发生巨额赎回或基金合同载明的延缓支付赎回款项的情形时，款项的支付办法参照基金合同有关条款处理。</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如遇交易所或交易市场数据传输延迟、通讯系统故障、银行数据交换系统故障或其他</w:t>
      </w:r>
      <w:proofErr w:type="gramStart"/>
      <w:r>
        <w:rPr>
          <w:rFonts w:ascii="宋体" w:hAnsi="宋体" w:cs="宋体"/>
        </w:rPr>
        <w:t>非基金</w:t>
      </w:r>
      <w:proofErr w:type="gramEnd"/>
      <w:r>
        <w:rPr>
          <w:rFonts w:ascii="宋体" w:hAnsi="宋体" w:cs="宋体"/>
        </w:rPr>
        <w:t>管理人及基金托管人所能控制的因素影响业务处理流程，则赎回款项划付时间相应顺延至该因素消除的最近一个工作日。</w:t>
      </w:r>
    </w:p>
    <w:p w:rsidR="000E3D5D" w:rsidRDefault="00C44468">
      <w:pPr>
        <w:adjustRightInd w:val="0"/>
        <w:snapToGrid w:val="0"/>
        <w:spacing w:line="360" w:lineRule="auto"/>
        <w:ind w:firstLineChars="200" w:firstLine="420"/>
        <w:rPr>
          <w:rFonts w:ascii="宋体" w:hAnsi="宋体" w:cs="宋体"/>
        </w:rPr>
      </w:pPr>
      <w:r>
        <w:rPr>
          <w:rFonts w:ascii="宋体" w:hAnsi="宋体" w:cs="宋体" w:hint="eastAsia"/>
        </w:rPr>
        <w:t>8</w:t>
      </w:r>
      <w:r>
        <w:rPr>
          <w:rFonts w:ascii="宋体" w:hAnsi="宋体" w:cs="宋体"/>
        </w:rPr>
        <w:t>.3申购和赎回申请的确认</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基金管理人应以交易时间结束前受理有效申购和赎回申请的当天作为申购或赎回申请日（T日），在正常情况下，本基金登记机构在T+1日内对该交易的有效性进行确认。T日提交的有效申请，投资人可在T+2日后（包括该日）到销售网点柜台或以销售机构规定的其他方式查询申请的确认情况。若申购不成功，则申购款项退还给投资人，基金管理人及基金托管人不承担该退回款项产生的利息等损失。</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基金销售机构对申购、赎回申请的受理并不代表申请一定成功，而仅代表销售机构确实接收到申请。申购、赎回申请的确认以登记机构的确认结果为准。对于申请的确认情况，投资人应及时查询并妥善行使合法权利，否则，由此产生的投资者任何损失由投资者自行承担。</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基金管理人可以在法律法规和基金合同允许的范围内，对上述业务进行调整，并在调整实施前依照《信息披露办法》的有关规定在规定媒介上公告。</w:t>
      </w:r>
    </w:p>
    <w:p w:rsidR="000E3D5D" w:rsidRDefault="00C44468">
      <w:pPr>
        <w:adjustRightInd w:val="0"/>
        <w:snapToGrid w:val="0"/>
        <w:spacing w:line="360" w:lineRule="auto"/>
        <w:ind w:firstLineChars="200" w:firstLine="420"/>
        <w:rPr>
          <w:rFonts w:ascii="宋体" w:hAnsi="宋体" w:cs="宋体"/>
        </w:rPr>
      </w:pPr>
      <w:r>
        <w:rPr>
          <w:rFonts w:ascii="宋体" w:hAnsi="宋体" w:cs="宋体" w:hint="eastAsia"/>
        </w:rPr>
        <w:t>8</w:t>
      </w:r>
      <w:r>
        <w:rPr>
          <w:rFonts w:ascii="宋体" w:hAnsi="宋体" w:cs="宋体"/>
        </w:rPr>
        <w:t>.4咨询查询</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如有任何疑问，投资者可拨打基金管理</w:t>
      </w:r>
      <w:proofErr w:type="gramStart"/>
      <w:r>
        <w:rPr>
          <w:rFonts w:ascii="宋体" w:hAnsi="宋体" w:cs="宋体"/>
        </w:rPr>
        <w:t>人客户</w:t>
      </w:r>
      <w:proofErr w:type="gramEnd"/>
      <w:r>
        <w:rPr>
          <w:rFonts w:ascii="宋体" w:hAnsi="宋体" w:cs="宋体"/>
        </w:rPr>
        <w:t>服务电话：（400-819-0789（免长途费））或登陆基金管理人网站（www.crsfund.com.cn）了解相关情况。</w:t>
      </w:r>
    </w:p>
    <w:p w:rsidR="000E3D5D" w:rsidRDefault="00C44468">
      <w:pPr>
        <w:adjustRightInd w:val="0"/>
        <w:snapToGrid w:val="0"/>
        <w:spacing w:line="360" w:lineRule="auto"/>
        <w:ind w:firstLineChars="200" w:firstLine="420"/>
        <w:rPr>
          <w:rFonts w:ascii="宋体" w:hAnsi="宋体" w:cs="宋体"/>
        </w:rPr>
      </w:pPr>
      <w:r>
        <w:rPr>
          <w:rFonts w:ascii="宋体" w:hAnsi="宋体" w:cs="宋体" w:hint="eastAsia"/>
        </w:rPr>
        <w:t>8</w:t>
      </w:r>
      <w:r>
        <w:rPr>
          <w:rFonts w:ascii="宋体" w:hAnsi="宋体" w:cs="宋体"/>
        </w:rPr>
        <w:t>.5风险提示</w:t>
      </w:r>
    </w:p>
    <w:p w:rsidR="000E3D5D" w:rsidRDefault="00C44468">
      <w:pPr>
        <w:adjustRightInd w:val="0"/>
        <w:snapToGrid w:val="0"/>
        <w:spacing w:line="360" w:lineRule="auto"/>
        <w:ind w:firstLineChars="200" w:firstLine="420"/>
        <w:rPr>
          <w:rFonts w:ascii="宋体" w:hAnsi="宋体" w:cs="宋体"/>
        </w:rPr>
      </w:pPr>
      <w:r>
        <w:rPr>
          <w:rFonts w:ascii="宋体" w:hAnsi="宋体" w:cs="宋体"/>
        </w:rPr>
        <w:t>本基金管理人承诺以诚实信用、勤勉尽责的原则管理和运用基金资产，但不保证基金一定盈利，也不保证最低收益。敬请投资人注意投资风险。投资者在投资本基金之前，请仔细阅读本基金的招募说明书和基金合同等信息披露文件，全面认识本基金的风险收益特征和产品特性，并充分考虑自身的风险承受能力，理性判断市场，谨慎做出投资决策。</w:t>
      </w:r>
    </w:p>
    <w:p w:rsidR="000E3D5D" w:rsidRDefault="00C44468">
      <w:pPr>
        <w:adjustRightInd w:val="0"/>
        <w:snapToGrid w:val="0"/>
        <w:spacing w:line="360" w:lineRule="auto"/>
        <w:ind w:firstLineChars="200" w:firstLine="420"/>
      </w:pPr>
      <w:r>
        <w:rPr>
          <w:rFonts w:ascii="宋体" w:hAnsi="宋体" w:cs="宋体"/>
        </w:rPr>
        <w:t>特此公告。</w:t>
      </w:r>
    </w:p>
    <w:p w:rsidR="000E3D5D" w:rsidRDefault="00C44468">
      <w:pPr>
        <w:adjustRightInd w:val="0"/>
        <w:snapToGrid w:val="0"/>
        <w:spacing w:line="360" w:lineRule="auto"/>
        <w:jc w:val="right"/>
      </w:pPr>
      <w:r>
        <w:rPr>
          <w:rFonts w:ascii="宋体" w:hAnsi="宋体" w:cs="宋体"/>
        </w:rPr>
        <w:t>国新国证基金管理有限公司</w:t>
      </w:r>
    </w:p>
    <w:p w:rsidR="000E3D5D" w:rsidRDefault="0073051B" w:rsidP="00B014FA">
      <w:pPr>
        <w:adjustRightInd w:val="0"/>
        <w:snapToGrid w:val="0"/>
        <w:spacing w:line="360" w:lineRule="auto"/>
        <w:jc w:val="right"/>
      </w:pPr>
      <w:r>
        <w:rPr>
          <w:rFonts w:ascii="宋体" w:hAnsi="宋体" w:cs="宋体" w:hint="eastAsia"/>
        </w:rPr>
        <w:t>2026</w:t>
      </w:r>
      <w:r>
        <w:rPr>
          <w:rFonts w:ascii="宋体" w:hAnsi="宋体" w:cs="宋体"/>
        </w:rPr>
        <w:t>年</w:t>
      </w:r>
      <w:r>
        <w:rPr>
          <w:rFonts w:ascii="宋体" w:hAnsi="宋体" w:cs="宋体" w:hint="eastAsia"/>
        </w:rPr>
        <w:t>10</w:t>
      </w:r>
      <w:r w:rsidR="00B014FA">
        <w:rPr>
          <w:rFonts w:ascii="宋体" w:hAnsi="宋体" w:cs="宋体"/>
        </w:rPr>
        <w:t>月</w:t>
      </w:r>
      <w:r>
        <w:rPr>
          <w:rFonts w:ascii="宋体" w:hAnsi="宋体" w:cs="宋体" w:hint="eastAsia"/>
        </w:rPr>
        <w:t>14</w:t>
      </w:r>
      <w:r w:rsidR="00B014FA">
        <w:rPr>
          <w:rFonts w:ascii="宋体" w:hAnsi="宋体" w:cs="宋体"/>
        </w:rPr>
        <w:t>日</w:t>
      </w:r>
    </w:p>
    <w:sectPr w:rsidR="000E3D5D">
      <w:headerReference w:type="default" r:id="rId8"/>
      <w:footerReference w:type="default" r:id="rId9"/>
      <w:pgSz w:w="11906" w:h="16838"/>
      <w:pgMar w:top="1440" w:right="1418" w:bottom="1440" w:left="1418" w:header="851" w:footer="851"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C67" w:rsidRDefault="00316C67">
      <w:pPr>
        <w:spacing w:line="240" w:lineRule="auto"/>
      </w:pPr>
      <w:r>
        <w:separator/>
      </w:r>
    </w:p>
  </w:endnote>
  <w:endnote w:type="continuationSeparator" w:id="0">
    <w:p w:rsidR="00316C67" w:rsidRDefault="00316C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D5D" w:rsidRDefault="00C44468">
    <w:pPr>
      <w:pBdr>
        <w:top w:val="single" w:sz="2" w:space="0" w:color="auto"/>
      </w:pBdr>
      <w:tabs>
        <w:tab w:val="right" w:pos="8640"/>
      </w:tabs>
      <w:jc w:val="center"/>
      <w:textAlignment w:val="center"/>
      <w:rPr>
        <w:rFonts w:ascii="宋体" w:hAnsi="宋体"/>
        <w:sz w:val="18"/>
        <w:szCs w:val="18"/>
      </w:rPr>
    </w:pPr>
    <w:r>
      <w:rPr>
        <w:rFonts w:ascii="宋体" w:hAnsi="宋体" w:cs="宋体" w:hint="eastAsia"/>
        <w:sz w:val="18"/>
        <w:szCs w:val="18"/>
        <w:lang w:bidi="ar"/>
      </w:rPr>
      <w:t>第</w:t>
    </w:r>
    <w:r>
      <w:rPr>
        <w:rFonts w:ascii="宋体" w:hAnsi="宋体" w:cs="Times New Roman" w:hint="eastAsia"/>
        <w:sz w:val="18"/>
        <w:szCs w:val="18"/>
        <w:lang w:bidi="ar"/>
      </w:rPr>
      <w:fldChar w:fldCharType="begin"/>
    </w:r>
    <w:r>
      <w:rPr>
        <w:rFonts w:ascii="宋体" w:hAnsi="宋体" w:cs="宋体" w:hint="eastAsia"/>
        <w:sz w:val="18"/>
        <w:szCs w:val="18"/>
        <w:lang w:bidi="ar"/>
      </w:rPr>
      <w:instrText>PAGE  \* MERGEFORMAT</w:instrText>
    </w:r>
    <w:r>
      <w:rPr>
        <w:rFonts w:ascii="宋体" w:hAnsi="宋体" w:cs="Times New Roman" w:hint="eastAsia"/>
        <w:sz w:val="18"/>
        <w:szCs w:val="18"/>
        <w:lang w:bidi="ar"/>
      </w:rPr>
      <w:fldChar w:fldCharType="separate"/>
    </w:r>
    <w:r w:rsidR="00C24E89">
      <w:rPr>
        <w:rFonts w:ascii="宋体" w:hAnsi="宋体" w:cs="宋体"/>
        <w:noProof/>
        <w:sz w:val="18"/>
        <w:szCs w:val="18"/>
        <w:lang w:bidi="ar"/>
      </w:rPr>
      <w:t>8</w:t>
    </w:r>
    <w:r>
      <w:rPr>
        <w:rFonts w:ascii="宋体" w:hAnsi="宋体" w:cs="宋体" w:hint="eastAsia"/>
        <w:sz w:val="18"/>
        <w:szCs w:val="18"/>
        <w:lang w:bidi="ar"/>
      </w:rPr>
      <w:fldChar w:fldCharType="end"/>
    </w:r>
    <w:r>
      <w:rPr>
        <w:rFonts w:ascii="宋体" w:hAnsi="宋体" w:cs="宋体" w:hint="eastAsia"/>
        <w:sz w:val="18"/>
        <w:szCs w:val="18"/>
        <w:lang w:bidi="ar"/>
      </w:rPr>
      <w:t>页，共</w:t>
    </w:r>
    <w:r>
      <w:rPr>
        <w:rFonts w:ascii="宋体" w:hAnsi="宋体" w:cs="Times New Roman" w:hint="eastAsia"/>
        <w:sz w:val="18"/>
        <w:szCs w:val="18"/>
        <w:lang w:bidi="ar"/>
      </w:rPr>
      <w:fldChar w:fldCharType="begin"/>
    </w:r>
    <w:r>
      <w:rPr>
        <w:rFonts w:ascii="宋体" w:hAnsi="宋体" w:cs="宋体" w:hint="eastAsia"/>
        <w:sz w:val="18"/>
        <w:szCs w:val="18"/>
        <w:lang w:bidi="ar"/>
      </w:rPr>
      <w:instrText xml:space="preserve">NUMPAGES  \* MERGEFORMAT </w:instrText>
    </w:r>
    <w:r>
      <w:rPr>
        <w:rFonts w:ascii="宋体" w:hAnsi="宋体" w:cs="Times New Roman" w:hint="eastAsia"/>
        <w:sz w:val="18"/>
        <w:szCs w:val="18"/>
        <w:lang w:bidi="ar"/>
      </w:rPr>
      <w:fldChar w:fldCharType="separate"/>
    </w:r>
    <w:r w:rsidR="00C24E89">
      <w:rPr>
        <w:rFonts w:ascii="宋体" w:hAnsi="宋体" w:cs="宋体"/>
        <w:noProof/>
        <w:sz w:val="18"/>
        <w:szCs w:val="18"/>
        <w:lang w:bidi="ar"/>
      </w:rPr>
      <w:t>8</w:t>
    </w:r>
    <w:r>
      <w:rPr>
        <w:rFonts w:ascii="宋体" w:hAnsi="宋体" w:cs="宋体" w:hint="eastAsia"/>
        <w:sz w:val="18"/>
        <w:szCs w:val="18"/>
        <w:lang w:bidi="ar"/>
      </w:rPr>
      <w:fldChar w:fldCharType="end"/>
    </w:r>
    <w:r>
      <w:rPr>
        <w:rFonts w:ascii="宋体" w:hAnsi="宋体" w:cs="宋体" w:hint="eastAsia"/>
        <w:sz w:val="18"/>
        <w:szCs w:val="18"/>
        <w:lang w:bidi="ar"/>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C67" w:rsidRDefault="00316C67">
      <w:r>
        <w:separator/>
      </w:r>
    </w:p>
  </w:footnote>
  <w:footnote w:type="continuationSeparator" w:id="0">
    <w:p w:rsidR="00316C67" w:rsidRDefault="00316C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D5D" w:rsidRDefault="00C44468">
    <w:pPr>
      <w:pBdr>
        <w:bottom w:val="single" w:sz="4" w:space="1" w:color="auto"/>
      </w:pBdr>
      <w:jc w:val="right"/>
      <w:rPr>
        <w:rFonts w:ascii="宋体" w:hAnsi="宋体"/>
      </w:rPr>
    </w:pPr>
    <w:r>
      <w:rPr>
        <w:rFonts w:ascii="宋体" w:hAnsi="宋体" w:hint="eastAsia"/>
        <w:sz w:val="18"/>
      </w:rPr>
      <w:t>国新国</w:t>
    </w:r>
    <w:proofErr w:type="gramStart"/>
    <w:r>
      <w:rPr>
        <w:rFonts w:ascii="宋体" w:hAnsi="宋体" w:hint="eastAsia"/>
        <w:sz w:val="18"/>
      </w:rPr>
      <w:t>证融泽</w:t>
    </w:r>
    <w:proofErr w:type="gramEnd"/>
    <w:r>
      <w:rPr>
        <w:rFonts w:ascii="宋体" w:hAnsi="宋体" w:hint="eastAsia"/>
        <w:sz w:val="18"/>
      </w:rPr>
      <w:t>6个月定期开放灵活配置混合型证券投资基金开放日常申购、赎回、转换业务的公告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3NzFmZmI0ZGI1YjNiMjVkZDdmZjc1YmJkYWI1YWMifQ=="/>
  </w:docVars>
  <w:rsids>
    <w:rsidRoot w:val="000B14F1"/>
    <w:rsid w:val="0000797B"/>
    <w:rsid w:val="000172DD"/>
    <w:rsid w:val="00031D8B"/>
    <w:rsid w:val="00033DD2"/>
    <w:rsid w:val="000358E9"/>
    <w:rsid w:val="00044DFE"/>
    <w:rsid w:val="00074298"/>
    <w:rsid w:val="00097862"/>
    <w:rsid w:val="000B14F1"/>
    <w:rsid w:val="000D44F1"/>
    <w:rsid w:val="000E3D5D"/>
    <w:rsid w:val="000F65E0"/>
    <w:rsid w:val="00136A1E"/>
    <w:rsid w:val="00144E90"/>
    <w:rsid w:val="00154612"/>
    <w:rsid w:val="0015477E"/>
    <w:rsid w:val="0016202E"/>
    <w:rsid w:val="00180271"/>
    <w:rsid w:val="001A0694"/>
    <w:rsid w:val="001B34AD"/>
    <w:rsid w:val="001E49DE"/>
    <w:rsid w:val="001E72DB"/>
    <w:rsid w:val="001E7C0C"/>
    <w:rsid w:val="001F2A2B"/>
    <w:rsid w:val="00207479"/>
    <w:rsid w:val="00213B69"/>
    <w:rsid w:val="0025237E"/>
    <w:rsid w:val="0026022A"/>
    <w:rsid w:val="00262E08"/>
    <w:rsid w:val="00271BCB"/>
    <w:rsid w:val="002846DD"/>
    <w:rsid w:val="00287789"/>
    <w:rsid w:val="00294812"/>
    <w:rsid w:val="002A1FFE"/>
    <w:rsid w:val="002A36A8"/>
    <w:rsid w:val="002B4056"/>
    <w:rsid w:val="002C6A0C"/>
    <w:rsid w:val="002D4665"/>
    <w:rsid w:val="002E2BC7"/>
    <w:rsid w:val="00316C67"/>
    <w:rsid w:val="00324653"/>
    <w:rsid w:val="00355A5F"/>
    <w:rsid w:val="00356262"/>
    <w:rsid w:val="003B643E"/>
    <w:rsid w:val="003E01BE"/>
    <w:rsid w:val="003E7B21"/>
    <w:rsid w:val="00413DB3"/>
    <w:rsid w:val="00420D84"/>
    <w:rsid w:val="00435171"/>
    <w:rsid w:val="00464645"/>
    <w:rsid w:val="0048630B"/>
    <w:rsid w:val="00492701"/>
    <w:rsid w:val="004A0D04"/>
    <w:rsid w:val="004A5321"/>
    <w:rsid w:val="004B3066"/>
    <w:rsid w:val="004F33D8"/>
    <w:rsid w:val="005037A9"/>
    <w:rsid w:val="00515E8B"/>
    <w:rsid w:val="00536F98"/>
    <w:rsid w:val="0054091C"/>
    <w:rsid w:val="00554371"/>
    <w:rsid w:val="005826D5"/>
    <w:rsid w:val="00587520"/>
    <w:rsid w:val="005A2FA6"/>
    <w:rsid w:val="005B565C"/>
    <w:rsid w:val="005B79A0"/>
    <w:rsid w:val="005C656C"/>
    <w:rsid w:val="005D1F67"/>
    <w:rsid w:val="0061633B"/>
    <w:rsid w:val="0063564B"/>
    <w:rsid w:val="00666C63"/>
    <w:rsid w:val="00680025"/>
    <w:rsid w:val="006879B1"/>
    <w:rsid w:val="006935A0"/>
    <w:rsid w:val="006A6402"/>
    <w:rsid w:val="006B4B3E"/>
    <w:rsid w:val="006C4EDC"/>
    <w:rsid w:val="006C7BC8"/>
    <w:rsid w:val="006D1AF4"/>
    <w:rsid w:val="006D1D70"/>
    <w:rsid w:val="0073051B"/>
    <w:rsid w:val="00752D0D"/>
    <w:rsid w:val="007D6500"/>
    <w:rsid w:val="007F2E5E"/>
    <w:rsid w:val="00832DA1"/>
    <w:rsid w:val="00842B26"/>
    <w:rsid w:val="00850BF6"/>
    <w:rsid w:val="00857D40"/>
    <w:rsid w:val="00917A48"/>
    <w:rsid w:val="0092608A"/>
    <w:rsid w:val="00953CC9"/>
    <w:rsid w:val="0099208B"/>
    <w:rsid w:val="009A27BD"/>
    <w:rsid w:val="009C2384"/>
    <w:rsid w:val="009C4451"/>
    <w:rsid w:val="009E2E87"/>
    <w:rsid w:val="009F43BC"/>
    <w:rsid w:val="009F4840"/>
    <w:rsid w:val="00A05910"/>
    <w:rsid w:val="00A74E55"/>
    <w:rsid w:val="00A96B95"/>
    <w:rsid w:val="00AE104D"/>
    <w:rsid w:val="00AF44FF"/>
    <w:rsid w:val="00B014FA"/>
    <w:rsid w:val="00B53886"/>
    <w:rsid w:val="00B659D3"/>
    <w:rsid w:val="00BD2190"/>
    <w:rsid w:val="00BD2BC1"/>
    <w:rsid w:val="00C05CA1"/>
    <w:rsid w:val="00C06BEF"/>
    <w:rsid w:val="00C1557A"/>
    <w:rsid w:val="00C15EFA"/>
    <w:rsid w:val="00C24E89"/>
    <w:rsid w:val="00C44468"/>
    <w:rsid w:val="00C563A3"/>
    <w:rsid w:val="00C6706A"/>
    <w:rsid w:val="00C84B5D"/>
    <w:rsid w:val="00CC4CE4"/>
    <w:rsid w:val="00D04B24"/>
    <w:rsid w:val="00D91EBF"/>
    <w:rsid w:val="00D94115"/>
    <w:rsid w:val="00DC5E2B"/>
    <w:rsid w:val="00DE3FE0"/>
    <w:rsid w:val="00DF1D38"/>
    <w:rsid w:val="00E069C2"/>
    <w:rsid w:val="00E220FA"/>
    <w:rsid w:val="00E24BF6"/>
    <w:rsid w:val="00E34F85"/>
    <w:rsid w:val="00E371F8"/>
    <w:rsid w:val="00E913D3"/>
    <w:rsid w:val="00EB14AA"/>
    <w:rsid w:val="00ED7150"/>
    <w:rsid w:val="00EF117C"/>
    <w:rsid w:val="00F118F1"/>
    <w:rsid w:val="00F1496B"/>
    <w:rsid w:val="00F178B0"/>
    <w:rsid w:val="00F17E43"/>
    <w:rsid w:val="00F32DCB"/>
    <w:rsid w:val="00F60A22"/>
    <w:rsid w:val="00F819EF"/>
    <w:rsid w:val="00F84531"/>
    <w:rsid w:val="00F931A0"/>
    <w:rsid w:val="00F935C5"/>
    <w:rsid w:val="00FA0949"/>
    <w:rsid w:val="00FC4DE5"/>
    <w:rsid w:val="0258037A"/>
    <w:rsid w:val="0E941B9C"/>
    <w:rsid w:val="17FF4F08"/>
    <w:rsid w:val="18783D54"/>
    <w:rsid w:val="312016A7"/>
    <w:rsid w:val="328572ED"/>
    <w:rsid w:val="3E9A1429"/>
    <w:rsid w:val="58DA3B13"/>
    <w:rsid w:val="5EE34946"/>
    <w:rsid w:val="62671060"/>
    <w:rsid w:val="67517C74"/>
    <w:rsid w:val="67FB3D55"/>
    <w:rsid w:val="7690564E"/>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Normal Indent" w:qFormat="1"/>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qFormat="1"/>
    <w:lsdException w:name="Normal (Web)" w:qFormat="1"/>
    <w:lsdException w:name="HTML Code" w:qFormat="1"/>
    <w:lsdException w:name="Normal Table" w:qFormat="1"/>
    <w:lsdException w:name="annotation subject"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uiPriority="61" w:qFormat="1"/>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88" w:lineRule="auto"/>
      <w:jc w:val="both"/>
    </w:pPr>
    <w:rPr>
      <w:rFonts w:eastAsia="宋体"/>
      <w:kern w:val="2"/>
      <w:sz w:val="21"/>
      <w:szCs w:val="21"/>
    </w:rPr>
  </w:style>
  <w:style w:type="paragraph" w:styleId="1">
    <w:name w:val="heading 1"/>
    <w:basedOn w:val="a"/>
    <w:next w:val="a"/>
    <w:link w:val="1Char"/>
    <w:autoRedefine/>
    <w:uiPriority w:val="9"/>
    <w:qFormat/>
    <w:pPr>
      <w:adjustRightInd w:val="0"/>
      <w:snapToGrid w:val="0"/>
      <w:spacing w:line="360" w:lineRule="auto"/>
      <w:jc w:val="left"/>
      <w:outlineLvl w:val="0"/>
    </w:pPr>
    <w:rPr>
      <w:rFonts w:ascii="宋体" w:hAnsi="宋体" w:cs="宋体"/>
      <w:b/>
      <w:bCs/>
      <w:sz w:val="24"/>
      <w:szCs w:val="24"/>
    </w:rPr>
  </w:style>
  <w:style w:type="paragraph" w:styleId="2">
    <w:name w:val="heading 2"/>
    <w:basedOn w:val="a"/>
    <w:next w:val="a"/>
    <w:link w:val="2Char"/>
    <w:uiPriority w:val="9"/>
    <w:unhideWhenUsed/>
    <w:qFormat/>
    <w:pPr>
      <w:adjustRightInd w:val="0"/>
      <w:spacing w:line="360" w:lineRule="auto"/>
      <w:jc w:val="left"/>
      <w:outlineLvl w:val="1"/>
    </w:pPr>
    <w:rPr>
      <w:rFonts w:asciiTheme="majorHAnsi" w:hAnsiTheme="majorHAnsi" w:cstheme="majorBidi"/>
      <w:b/>
      <w:bCs/>
      <w:sz w:val="24"/>
      <w:szCs w:val="32"/>
    </w:rPr>
  </w:style>
  <w:style w:type="paragraph" w:styleId="3">
    <w:name w:val="heading 3"/>
    <w:basedOn w:val="a"/>
    <w:next w:val="a"/>
    <w:link w:val="3Char"/>
    <w:uiPriority w:val="9"/>
    <w:unhideWhenUsed/>
    <w:qFormat/>
    <w:pPr>
      <w:keepNext/>
      <w:keepLines/>
      <w:spacing w:line="360" w:lineRule="auto"/>
      <w:outlineLvl w:val="2"/>
    </w:pPr>
    <w:rPr>
      <w:b/>
      <w:bCs/>
      <w:sz w:val="24"/>
      <w:szCs w:val="32"/>
    </w:rPr>
  </w:style>
  <w:style w:type="paragraph" w:styleId="4">
    <w:name w:val="heading 4"/>
    <w:basedOn w:val="a"/>
    <w:next w:val="a"/>
    <w:link w:val="4Char"/>
    <w:autoRedefine/>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autoRedefine/>
    <w:uiPriority w:val="39"/>
    <w:unhideWhenUsed/>
    <w:qFormat/>
    <w:pPr>
      <w:ind w:left="1260"/>
      <w:jc w:val="left"/>
    </w:pPr>
    <w:rPr>
      <w:sz w:val="18"/>
      <w:szCs w:val="18"/>
    </w:rPr>
  </w:style>
  <w:style w:type="paragraph" w:styleId="a3">
    <w:name w:val="Normal Indent"/>
    <w:basedOn w:val="a"/>
    <w:link w:val="Char"/>
    <w:uiPriority w:val="99"/>
    <w:semiHidden/>
    <w:unhideWhenUsed/>
    <w:qFormat/>
    <w:pPr>
      <w:ind w:firstLineChars="200" w:firstLine="420"/>
    </w:pPr>
  </w:style>
  <w:style w:type="paragraph" w:styleId="a4">
    <w:name w:val="Document Map"/>
    <w:basedOn w:val="a"/>
    <w:link w:val="Char0"/>
    <w:uiPriority w:val="99"/>
    <w:semiHidden/>
    <w:unhideWhenUsed/>
    <w:qFormat/>
    <w:rPr>
      <w:rFonts w:ascii="宋体"/>
      <w:sz w:val="18"/>
      <w:szCs w:val="18"/>
    </w:rPr>
  </w:style>
  <w:style w:type="paragraph" w:styleId="a5">
    <w:name w:val="annotation text"/>
    <w:basedOn w:val="a"/>
    <w:link w:val="Char1"/>
    <w:uiPriority w:val="99"/>
    <w:semiHidden/>
    <w:unhideWhenUsed/>
    <w:qFormat/>
    <w:pPr>
      <w:jc w:val="left"/>
    </w:pPr>
  </w:style>
  <w:style w:type="paragraph" w:styleId="a6">
    <w:name w:val="Body Text"/>
    <w:basedOn w:val="a"/>
    <w:link w:val="Char2"/>
    <w:uiPriority w:val="99"/>
    <w:semiHidden/>
    <w:unhideWhenUsed/>
    <w:qFormat/>
    <w:pPr>
      <w:spacing w:after="120"/>
    </w:pPr>
  </w:style>
  <w:style w:type="paragraph" w:styleId="5">
    <w:name w:val="toc 5"/>
    <w:basedOn w:val="a"/>
    <w:next w:val="a"/>
    <w:autoRedefine/>
    <w:uiPriority w:val="39"/>
    <w:unhideWhenUsed/>
    <w:qFormat/>
    <w:pPr>
      <w:ind w:left="840"/>
      <w:jc w:val="left"/>
    </w:pPr>
    <w:rPr>
      <w:sz w:val="18"/>
      <w:szCs w:val="18"/>
    </w:rPr>
  </w:style>
  <w:style w:type="paragraph" w:styleId="30">
    <w:name w:val="toc 3"/>
    <w:basedOn w:val="a"/>
    <w:next w:val="a"/>
    <w:autoRedefine/>
    <w:uiPriority w:val="39"/>
    <w:unhideWhenUsed/>
    <w:qFormat/>
    <w:pPr>
      <w:spacing w:line="240" w:lineRule="auto"/>
      <w:ind w:left="420"/>
      <w:jc w:val="left"/>
    </w:pPr>
    <w:rPr>
      <w:i/>
      <w:iCs/>
      <w:szCs w:val="20"/>
    </w:rPr>
  </w:style>
  <w:style w:type="paragraph" w:styleId="a7">
    <w:name w:val="Plain Text"/>
    <w:basedOn w:val="a"/>
    <w:link w:val="Char3"/>
    <w:autoRedefine/>
    <w:uiPriority w:val="99"/>
    <w:semiHidden/>
    <w:unhideWhenUsed/>
    <w:qFormat/>
    <w:rPr>
      <w:rFonts w:asciiTheme="minorEastAsia" w:hAnsi="Courier New" w:cs="Courier New"/>
    </w:rPr>
  </w:style>
  <w:style w:type="paragraph" w:styleId="8">
    <w:name w:val="toc 8"/>
    <w:basedOn w:val="a"/>
    <w:next w:val="a"/>
    <w:uiPriority w:val="39"/>
    <w:unhideWhenUsed/>
    <w:qFormat/>
    <w:pPr>
      <w:ind w:left="1470"/>
      <w:jc w:val="left"/>
    </w:pPr>
    <w:rPr>
      <w:rFonts w:eastAsiaTheme="minorHAnsi"/>
      <w:sz w:val="18"/>
      <w:szCs w:val="18"/>
    </w:rPr>
  </w:style>
  <w:style w:type="paragraph" w:styleId="a8">
    <w:name w:val="Date"/>
    <w:basedOn w:val="a"/>
    <w:next w:val="a"/>
    <w:link w:val="Char4"/>
    <w:autoRedefine/>
    <w:uiPriority w:val="99"/>
    <w:semiHidden/>
    <w:unhideWhenUsed/>
    <w:qFormat/>
    <w:pPr>
      <w:ind w:leftChars="2500" w:left="100"/>
    </w:pPr>
  </w:style>
  <w:style w:type="paragraph" w:styleId="a9">
    <w:name w:val="Balloon Text"/>
    <w:basedOn w:val="a"/>
    <w:link w:val="Char5"/>
    <w:uiPriority w:val="99"/>
    <w:semiHidden/>
    <w:unhideWhenUsed/>
    <w:qFormat/>
    <w:rPr>
      <w:sz w:val="18"/>
      <w:szCs w:val="18"/>
    </w:rPr>
  </w:style>
  <w:style w:type="paragraph" w:styleId="aa">
    <w:name w:val="footer"/>
    <w:basedOn w:val="a"/>
    <w:link w:val="Char6"/>
    <w:uiPriority w:val="99"/>
    <w:unhideWhenUsed/>
    <w:qFormat/>
    <w:pPr>
      <w:tabs>
        <w:tab w:val="center" w:pos="4153"/>
        <w:tab w:val="right" w:pos="8306"/>
      </w:tabs>
      <w:snapToGrid w:val="0"/>
      <w:jc w:val="left"/>
    </w:pPr>
    <w:rPr>
      <w:sz w:val="18"/>
      <w:szCs w:val="18"/>
    </w:rPr>
  </w:style>
  <w:style w:type="paragraph" w:styleId="ab">
    <w:name w:val="header"/>
    <w:basedOn w:val="a"/>
    <w:link w:val="Char7"/>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unhideWhenUsed/>
    <w:qFormat/>
    <w:pPr>
      <w:tabs>
        <w:tab w:val="right" w:leader="dot" w:pos="9060"/>
      </w:tabs>
      <w:spacing w:line="240" w:lineRule="auto"/>
      <w:jc w:val="left"/>
    </w:pPr>
    <w:rPr>
      <w:b/>
      <w:bCs/>
      <w:caps/>
      <w:szCs w:val="20"/>
    </w:rPr>
  </w:style>
  <w:style w:type="paragraph" w:styleId="40">
    <w:name w:val="toc 4"/>
    <w:basedOn w:val="a"/>
    <w:next w:val="a"/>
    <w:autoRedefine/>
    <w:uiPriority w:val="39"/>
    <w:unhideWhenUsed/>
    <w:qFormat/>
    <w:pPr>
      <w:ind w:left="630"/>
      <w:jc w:val="left"/>
    </w:pPr>
    <w:rPr>
      <w:sz w:val="18"/>
      <w:szCs w:val="18"/>
    </w:rPr>
  </w:style>
  <w:style w:type="paragraph" w:styleId="6">
    <w:name w:val="toc 6"/>
    <w:basedOn w:val="a"/>
    <w:next w:val="a"/>
    <w:autoRedefine/>
    <w:uiPriority w:val="39"/>
    <w:unhideWhenUsed/>
    <w:qFormat/>
    <w:pPr>
      <w:ind w:left="1050"/>
      <w:jc w:val="left"/>
    </w:pPr>
    <w:rPr>
      <w:sz w:val="18"/>
      <w:szCs w:val="18"/>
    </w:rPr>
  </w:style>
  <w:style w:type="paragraph" w:styleId="20">
    <w:name w:val="toc 2"/>
    <w:basedOn w:val="a"/>
    <w:next w:val="a"/>
    <w:autoRedefine/>
    <w:uiPriority w:val="39"/>
    <w:unhideWhenUsed/>
    <w:qFormat/>
    <w:pPr>
      <w:spacing w:line="240" w:lineRule="auto"/>
      <w:ind w:left="210"/>
      <w:jc w:val="left"/>
    </w:pPr>
    <w:rPr>
      <w:smallCaps/>
      <w:szCs w:val="20"/>
    </w:rPr>
  </w:style>
  <w:style w:type="paragraph" w:styleId="9">
    <w:name w:val="toc 9"/>
    <w:basedOn w:val="a"/>
    <w:next w:val="a"/>
    <w:autoRedefine/>
    <w:uiPriority w:val="39"/>
    <w:unhideWhenUsed/>
    <w:qFormat/>
    <w:pPr>
      <w:ind w:left="1680"/>
      <w:jc w:val="left"/>
    </w:pPr>
    <w:rPr>
      <w:rFonts w:eastAsiaTheme="minorHAnsi"/>
      <w:sz w:val="18"/>
      <w:szCs w:val="18"/>
    </w:rPr>
  </w:style>
  <w:style w:type="paragraph" w:styleId="ac">
    <w:name w:val="Normal (Web)"/>
    <w:basedOn w:val="a"/>
    <w:autoRedefine/>
    <w:uiPriority w:val="99"/>
    <w:semiHidden/>
    <w:unhideWhenUsed/>
    <w:qFormat/>
    <w:rPr>
      <w:rFonts w:ascii="Times New Roman" w:hAnsi="Times New Roman" w:cs="宋体"/>
      <w:sz w:val="24"/>
      <w:szCs w:val="24"/>
    </w:rPr>
  </w:style>
  <w:style w:type="paragraph" w:styleId="ad">
    <w:name w:val="Title"/>
    <w:basedOn w:val="a"/>
    <w:next w:val="a"/>
    <w:link w:val="Char8"/>
    <w:autoRedefine/>
    <w:uiPriority w:val="10"/>
    <w:qFormat/>
    <w:pPr>
      <w:spacing w:before="240" w:after="60"/>
      <w:jc w:val="center"/>
      <w:outlineLvl w:val="0"/>
    </w:pPr>
    <w:rPr>
      <w:rFonts w:asciiTheme="majorHAnsi" w:eastAsiaTheme="majorEastAsia" w:hAnsiTheme="majorHAnsi" w:cstheme="majorBidi"/>
      <w:b/>
      <w:bCs/>
      <w:sz w:val="32"/>
      <w:szCs w:val="32"/>
    </w:rPr>
  </w:style>
  <w:style w:type="paragraph" w:styleId="ae">
    <w:name w:val="annotation subject"/>
    <w:basedOn w:val="a5"/>
    <w:next w:val="a5"/>
    <w:link w:val="Char9"/>
    <w:autoRedefine/>
    <w:uiPriority w:val="99"/>
    <w:semiHidden/>
    <w:unhideWhenUsed/>
    <w:qFormat/>
    <w:rPr>
      <w:b/>
      <w:bCs/>
    </w:rPr>
  </w:style>
  <w:style w:type="table" w:styleId="af">
    <w:name w:val="Table Grid"/>
    <w:basedOn w:val="a1"/>
    <w:autoRedefin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autoRedefine/>
    <w:uiPriority w:val="61"/>
    <w:semiHidden/>
    <w:unhideWhenUsed/>
    <w:qFormat/>
    <w:rPr>
      <w:rFonts w:ascii="Times New Roman" w:eastAsia="宋体" w:hAnsi="Times New Roman" w:cs="Times New Roman"/>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character" w:styleId="af0">
    <w:name w:val="Strong"/>
    <w:basedOn w:val="a0"/>
    <w:autoRedefine/>
    <w:uiPriority w:val="22"/>
    <w:qFormat/>
    <w:rPr>
      <w:b/>
      <w:bCs/>
    </w:rPr>
  </w:style>
  <w:style w:type="character" w:styleId="af1">
    <w:name w:val="Hyperlink"/>
    <w:basedOn w:val="a0"/>
    <w:autoRedefine/>
    <w:uiPriority w:val="99"/>
    <w:unhideWhenUsed/>
    <w:qFormat/>
    <w:rPr>
      <w:color w:val="0000FF"/>
      <w:u w:val="single"/>
    </w:rPr>
  </w:style>
  <w:style w:type="character" w:styleId="HTML">
    <w:name w:val="HTML Code"/>
    <w:basedOn w:val="a0"/>
    <w:autoRedefine/>
    <w:uiPriority w:val="99"/>
    <w:semiHidden/>
    <w:unhideWhenUsed/>
    <w:qFormat/>
    <w:rPr>
      <w:rFonts w:ascii="Courier New" w:hAnsi="Courier New" w:cs="Courier New"/>
      <w:sz w:val="20"/>
      <w:szCs w:val="20"/>
    </w:rPr>
  </w:style>
  <w:style w:type="character" w:styleId="af2">
    <w:name w:val="annotation reference"/>
    <w:basedOn w:val="a0"/>
    <w:autoRedefine/>
    <w:uiPriority w:val="99"/>
    <w:semiHidden/>
    <w:unhideWhenUsed/>
    <w:qFormat/>
    <w:rPr>
      <w:sz w:val="21"/>
      <w:szCs w:val="21"/>
    </w:rPr>
  </w:style>
  <w:style w:type="paragraph" w:customStyle="1" w:styleId="af3">
    <w:name w:val="代码样式"/>
    <w:link w:val="Chara"/>
    <w:autoRedefine/>
    <w:qFormat/>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Chars="50" w:left="50" w:rightChars="50" w:right="50"/>
    </w:pPr>
    <w:rPr>
      <w:kern w:val="2"/>
      <w:sz w:val="21"/>
      <w:szCs w:val="21"/>
    </w:rPr>
  </w:style>
  <w:style w:type="character" w:customStyle="1" w:styleId="Chara">
    <w:name w:val="代码样式 Char"/>
    <w:basedOn w:val="a0"/>
    <w:link w:val="af3"/>
    <w:autoRedefine/>
    <w:qFormat/>
    <w:rPr>
      <w:shd w:val="clear" w:color="auto" w:fill="A8D08D" w:themeFill="accent6" w:themeFillTint="99"/>
    </w:rPr>
  </w:style>
  <w:style w:type="character" w:customStyle="1" w:styleId="1Char">
    <w:name w:val="标题 1 Char"/>
    <w:basedOn w:val="a0"/>
    <w:link w:val="1"/>
    <w:autoRedefine/>
    <w:uiPriority w:val="9"/>
    <w:qFormat/>
    <w:rPr>
      <w:rFonts w:ascii="宋体" w:eastAsia="宋体" w:hAnsi="宋体" w:cs="宋体"/>
      <w:b/>
      <w:bCs/>
      <w:kern w:val="2"/>
      <w:sz w:val="24"/>
      <w:szCs w:val="24"/>
    </w:rPr>
  </w:style>
  <w:style w:type="character" w:customStyle="1" w:styleId="2Char">
    <w:name w:val="标题 2 Char"/>
    <w:basedOn w:val="a0"/>
    <w:link w:val="2"/>
    <w:autoRedefine/>
    <w:uiPriority w:val="9"/>
    <w:qFormat/>
    <w:rPr>
      <w:rFonts w:asciiTheme="majorHAnsi" w:eastAsia="宋体" w:hAnsiTheme="majorHAnsi" w:cstheme="majorBidi"/>
      <w:b/>
      <w:bCs/>
      <w:sz w:val="24"/>
      <w:szCs w:val="32"/>
    </w:rPr>
  </w:style>
  <w:style w:type="character" w:customStyle="1" w:styleId="3Char">
    <w:name w:val="标题 3 Char"/>
    <w:basedOn w:val="a0"/>
    <w:link w:val="3"/>
    <w:autoRedefine/>
    <w:uiPriority w:val="9"/>
    <w:qFormat/>
    <w:rPr>
      <w:rFonts w:eastAsia="宋体"/>
      <w:b/>
      <w:bCs/>
      <w:sz w:val="24"/>
      <w:szCs w:val="32"/>
    </w:rPr>
  </w:style>
  <w:style w:type="character" w:customStyle="1" w:styleId="4Char">
    <w:name w:val="标题 4 Char"/>
    <w:basedOn w:val="a0"/>
    <w:link w:val="4"/>
    <w:autoRedefine/>
    <w:uiPriority w:val="9"/>
    <w:semiHidden/>
    <w:qFormat/>
    <w:rPr>
      <w:rFonts w:asciiTheme="majorHAnsi" w:eastAsiaTheme="majorEastAsia" w:hAnsiTheme="majorHAnsi" w:cstheme="majorBidi"/>
      <w:b/>
      <w:bCs/>
      <w:sz w:val="28"/>
      <w:szCs w:val="28"/>
    </w:rPr>
  </w:style>
  <w:style w:type="character" w:customStyle="1" w:styleId="Char">
    <w:name w:val="正文缩进 Char"/>
    <w:link w:val="a3"/>
    <w:autoRedefine/>
    <w:uiPriority w:val="99"/>
    <w:semiHidden/>
    <w:qFormat/>
    <w:rPr>
      <w:rFonts w:asciiTheme="minorHAnsi" w:eastAsiaTheme="minorEastAsia" w:hAnsiTheme="minorHAnsi" w:cstheme="minorBidi"/>
      <w:sz w:val="21"/>
      <w:szCs w:val="22"/>
    </w:rPr>
  </w:style>
  <w:style w:type="character" w:customStyle="1" w:styleId="Char1">
    <w:name w:val="批注文字 Char"/>
    <w:basedOn w:val="a0"/>
    <w:link w:val="a5"/>
    <w:autoRedefine/>
    <w:uiPriority w:val="99"/>
    <w:semiHidden/>
    <w:qFormat/>
    <w:rPr>
      <w:rFonts w:asciiTheme="minorHAnsi" w:eastAsiaTheme="minorEastAsia" w:hAnsiTheme="minorHAnsi" w:cstheme="minorBidi"/>
      <w:sz w:val="21"/>
      <w:szCs w:val="22"/>
    </w:rPr>
  </w:style>
  <w:style w:type="character" w:customStyle="1" w:styleId="Char7">
    <w:name w:val="页眉 Char"/>
    <w:basedOn w:val="a0"/>
    <w:link w:val="ab"/>
    <w:autoRedefine/>
    <w:uiPriority w:val="99"/>
    <w:qFormat/>
    <w:rPr>
      <w:rFonts w:asciiTheme="minorHAnsi" w:eastAsiaTheme="minorEastAsia" w:hAnsiTheme="minorHAnsi" w:cstheme="minorBidi"/>
      <w:sz w:val="18"/>
      <w:szCs w:val="18"/>
    </w:rPr>
  </w:style>
  <w:style w:type="character" w:customStyle="1" w:styleId="Char6">
    <w:name w:val="页脚 Char"/>
    <w:basedOn w:val="a0"/>
    <w:link w:val="aa"/>
    <w:autoRedefine/>
    <w:uiPriority w:val="99"/>
    <w:qFormat/>
    <w:rPr>
      <w:rFonts w:asciiTheme="minorHAnsi" w:eastAsiaTheme="minorEastAsia" w:hAnsiTheme="minorHAnsi" w:cstheme="minorBidi"/>
      <w:sz w:val="18"/>
      <w:szCs w:val="18"/>
    </w:rPr>
  </w:style>
  <w:style w:type="character" w:customStyle="1" w:styleId="Char2">
    <w:name w:val="正文文本 Char"/>
    <w:basedOn w:val="a0"/>
    <w:link w:val="a6"/>
    <w:autoRedefine/>
    <w:uiPriority w:val="99"/>
    <w:semiHidden/>
    <w:qFormat/>
    <w:rPr>
      <w:rFonts w:asciiTheme="minorHAnsi" w:eastAsiaTheme="minorEastAsia" w:hAnsiTheme="minorHAnsi" w:cstheme="minorBidi"/>
      <w:sz w:val="21"/>
      <w:szCs w:val="22"/>
    </w:rPr>
  </w:style>
  <w:style w:type="character" w:customStyle="1" w:styleId="Char4">
    <w:name w:val="日期 Char"/>
    <w:basedOn w:val="a0"/>
    <w:link w:val="a8"/>
    <w:autoRedefine/>
    <w:uiPriority w:val="99"/>
    <w:semiHidden/>
    <w:qFormat/>
    <w:rPr>
      <w:rFonts w:asciiTheme="minorHAnsi" w:eastAsiaTheme="minorEastAsia" w:hAnsiTheme="minorHAnsi" w:cstheme="minorBidi"/>
      <w:sz w:val="21"/>
      <w:szCs w:val="22"/>
    </w:rPr>
  </w:style>
  <w:style w:type="character" w:customStyle="1" w:styleId="Char3">
    <w:name w:val="纯文本 Char"/>
    <w:basedOn w:val="a0"/>
    <w:link w:val="a7"/>
    <w:autoRedefine/>
    <w:uiPriority w:val="99"/>
    <w:semiHidden/>
    <w:qFormat/>
    <w:rPr>
      <w:rFonts w:asciiTheme="minorEastAsia" w:eastAsiaTheme="minorEastAsia" w:hAnsi="Courier New" w:cs="Courier New"/>
      <w:sz w:val="21"/>
      <w:szCs w:val="22"/>
    </w:rPr>
  </w:style>
  <w:style w:type="character" w:customStyle="1" w:styleId="Char9">
    <w:name w:val="批注主题 Char"/>
    <w:basedOn w:val="Char1"/>
    <w:link w:val="ae"/>
    <w:autoRedefine/>
    <w:uiPriority w:val="99"/>
    <w:semiHidden/>
    <w:qFormat/>
    <w:rPr>
      <w:rFonts w:asciiTheme="minorHAnsi" w:eastAsiaTheme="minorEastAsia" w:hAnsiTheme="minorHAnsi" w:cstheme="minorBidi"/>
      <w:b/>
      <w:bCs/>
      <w:sz w:val="21"/>
      <w:szCs w:val="22"/>
    </w:rPr>
  </w:style>
  <w:style w:type="character" w:customStyle="1" w:styleId="Char5">
    <w:name w:val="批注框文本 Char"/>
    <w:basedOn w:val="a0"/>
    <w:link w:val="a9"/>
    <w:autoRedefine/>
    <w:uiPriority w:val="99"/>
    <w:semiHidden/>
    <w:qFormat/>
    <w:rPr>
      <w:rFonts w:asciiTheme="minorHAnsi" w:eastAsiaTheme="minorEastAsia" w:hAnsiTheme="minorHAnsi" w:cstheme="minorBidi"/>
      <w:sz w:val="18"/>
      <w:szCs w:val="18"/>
    </w:rPr>
  </w:style>
  <w:style w:type="paragraph" w:styleId="af4">
    <w:name w:val="List Paragraph"/>
    <w:basedOn w:val="a"/>
    <w:uiPriority w:val="34"/>
    <w:qFormat/>
    <w:pPr>
      <w:ind w:firstLineChars="200" w:firstLine="420"/>
    </w:pPr>
  </w:style>
  <w:style w:type="character" w:customStyle="1" w:styleId="Char8">
    <w:name w:val="标题 Char"/>
    <w:basedOn w:val="a0"/>
    <w:link w:val="ad"/>
    <w:autoRedefine/>
    <w:uiPriority w:val="10"/>
    <w:qFormat/>
    <w:rPr>
      <w:rFonts w:asciiTheme="majorHAnsi" w:eastAsiaTheme="majorEastAsia" w:hAnsiTheme="majorHAnsi" w:cstheme="majorBidi"/>
      <w:b/>
      <w:bCs/>
      <w:sz w:val="32"/>
      <w:szCs w:val="32"/>
    </w:rPr>
  </w:style>
  <w:style w:type="paragraph" w:customStyle="1" w:styleId="biaogeleft">
    <w:name w:val="biaoge_left"/>
    <w:basedOn w:val="a"/>
    <w:autoRedefine/>
    <w:qFormat/>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a"/>
    <w:autoRedefine/>
    <w:qFormat/>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a"/>
    <w:autoRedefine/>
    <w:qFormat/>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a0"/>
    <w:autoRedefine/>
    <w:uiPriority w:val="1"/>
    <w:qFormat/>
    <w:rPr>
      <w:rFonts w:ascii="宋体" w:eastAsia="宋体" w:hAnsi="宋体"/>
      <w:color w:val="000000" w:themeColor="text1"/>
      <w:sz w:val="21"/>
    </w:rPr>
  </w:style>
  <w:style w:type="paragraph" w:customStyle="1" w:styleId="TOC1">
    <w:name w:val="TOC 标题1"/>
    <w:basedOn w:val="1"/>
    <w:next w:val="a"/>
    <w:autoRedefine/>
    <w:uiPriority w:val="39"/>
    <w:unhideWhenUsed/>
    <w:qFormat/>
    <w:pPr>
      <w:keepNext/>
      <w:keepLines/>
      <w:widowControl/>
      <w:spacing w:before="24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Char0">
    <w:name w:val="文档结构图 Char"/>
    <w:basedOn w:val="a0"/>
    <w:link w:val="a4"/>
    <w:autoRedefine/>
    <w:uiPriority w:val="99"/>
    <w:semiHidden/>
    <w:qFormat/>
    <w:rPr>
      <w:rFonts w:ascii="宋体" w:eastAsia="宋体"/>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Normal Indent" w:qFormat="1"/>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qFormat="1"/>
    <w:lsdException w:name="Normal (Web)" w:qFormat="1"/>
    <w:lsdException w:name="HTML Code" w:qFormat="1"/>
    <w:lsdException w:name="Normal Table" w:qFormat="1"/>
    <w:lsdException w:name="annotation subject"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uiPriority="61" w:qFormat="1"/>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88" w:lineRule="auto"/>
      <w:jc w:val="both"/>
    </w:pPr>
    <w:rPr>
      <w:rFonts w:eastAsia="宋体"/>
      <w:kern w:val="2"/>
      <w:sz w:val="21"/>
      <w:szCs w:val="21"/>
    </w:rPr>
  </w:style>
  <w:style w:type="paragraph" w:styleId="1">
    <w:name w:val="heading 1"/>
    <w:basedOn w:val="a"/>
    <w:next w:val="a"/>
    <w:link w:val="1Char"/>
    <w:autoRedefine/>
    <w:uiPriority w:val="9"/>
    <w:qFormat/>
    <w:pPr>
      <w:adjustRightInd w:val="0"/>
      <w:snapToGrid w:val="0"/>
      <w:spacing w:line="360" w:lineRule="auto"/>
      <w:jc w:val="left"/>
      <w:outlineLvl w:val="0"/>
    </w:pPr>
    <w:rPr>
      <w:rFonts w:ascii="宋体" w:hAnsi="宋体" w:cs="宋体"/>
      <w:b/>
      <w:bCs/>
      <w:sz w:val="24"/>
      <w:szCs w:val="24"/>
    </w:rPr>
  </w:style>
  <w:style w:type="paragraph" w:styleId="2">
    <w:name w:val="heading 2"/>
    <w:basedOn w:val="a"/>
    <w:next w:val="a"/>
    <w:link w:val="2Char"/>
    <w:uiPriority w:val="9"/>
    <w:unhideWhenUsed/>
    <w:qFormat/>
    <w:pPr>
      <w:adjustRightInd w:val="0"/>
      <w:spacing w:line="360" w:lineRule="auto"/>
      <w:jc w:val="left"/>
      <w:outlineLvl w:val="1"/>
    </w:pPr>
    <w:rPr>
      <w:rFonts w:asciiTheme="majorHAnsi" w:hAnsiTheme="majorHAnsi" w:cstheme="majorBidi"/>
      <w:b/>
      <w:bCs/>
      <w:sz w:val="24"/>
      <w:szCs w:val="32"/>
    </w:rPr>
  </w:style>
  <w:style w:type="paragraph" w:styleId="3">
    <w:name w:val="heading 3"/>
    <w:basedOn w:val="a"/>
    <w:next w:val="a"/>
    <w:link w:val="3Char"/>
    <w:uiPriority w:val="9"/>
    <w:unhideWhenUsed/>
    <w:qFormat/>
    <w:pPr>
      <w:keepNext/>
      <w:keepLines/>
      <w:spacing w:line="360" w:lineRule="auto"/>
      <w:outlineLvl w:val="2"/>
    </w:pPr>
    <w:rPr>
      <w:b/>
      <w:bCs/>
      <w:sz w:val="24"/>
      <w:szCs w:val="32"/>
    </w:rPr>
  </w:style>
  <w:style w:type="paragraph" w:styleId="4">
    <w:name w:val="heading 4"/>
    <w:basedOn w:val="a"/>
    <w:next w:val="a"/>
    <w:link w:val="4Char"/>
    <w:autoRedefine/>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autoRedefine/>
    <w:uiPriority w:val="39"/>
    <w:unhideWhenUsed/>
    <w:qFormat/>
    <w:pPr>
      <w:ind w:left="1260"/>
      <w:jc w:val="left"/>
    </w:pPr>
    <w:rPr>
      <w:sz w:val="18"/>
      <w:szCs w:val="18"/>
    </w:rPr>
  </w:style>
  <w:style w:type="paragraph" w:styleId="a3">
    <w:name w:val="Normal Indent"/>
    <w:basedOn w:val="a"/>
    <w:link w:val="Char"/>
    <w:uiPriority w:val="99"/>
    <w:semiHidden/>
    <w:unhideWhenUsed/>
    <w:qFormat/>
    <w:pPr>
      <w:ind w:firstLineChars="200" w:firstLine="420"/>
    </w:pPr>
  </w:style>
  <w:style w:type="paragraph" w:styleId="a4">
    <w:name w:val="Document Map"/>
    <w:basedOn w:val="a"/>
    <w:link w:val="Char0"/>
    <w:uiPriority w:val="99"/>
    <w:semiHidden/>
    <w:unhideWhenUsed/>
    <w:qFormat/>
    <w:rPr>
      <w:rFonts w:ascii="宋体"/>
      <w:sz w:val="18"/>
      <w:szCs w:val="18"/>
    </w:rPr>
  </w:style>
  <w:style w:type="paragraph" w:styleId="a5">
    <w:name w:val="annotation text"/>
    <w:basedOn w:val="a"/>
    <w:link w:val="Char1"/>
    <w:uiPriority w:val="99"/>
    <w:semiHidden/>
    <w:unhideWhenUsed/>
    <w:qFormat/>
    <w:pPr>
      <w:jc w:val="left"/>
    </w:pPr>
  </w:style>
  <w:style w:type="paragraph" w:styleId="a6">
    <w:name w:val="Body Text"/>
    <w:basedOn w:val="a"/>
    <w:link w:val="Char2"/>
    <w:uiPriority w:val="99"/>
    <w:semiHidden/>
    <w:unhideWhenUsed/>
    <w:qFormat/>
    <w:pPr>
      <w:spacing w:after="120"/>
    </w:pPr>
  </w:style>
  <w:style w:type="paragraph" w:styleId="5">
    <w:name w:val="toc 5"/>
    <w:basedOn w:val="a"/>
    <w:next w:val="a"/>
    <w:autoRedefine/>
    <w:uiPriority w:val="39"/>
    <w:unhideWhenUsed/>
    <w:qFormat/>
    <w:pPr>
      <w:ind w:left="840"/>
      <w:jc w:val="left"/>
    </w:pPr>
    <w:rPr>
      <w:sz w:val="18"/>
      <w:szCs w:val="18"/>
    </w:rPr>
  </w:style>
  <w:style w:type="paragraph" w:styleId="30">
    <w:name w:val="toc 3"/>
    <w:basedOn w:val="a"/>
    <w:next w:val="a"/>
    <w:autoRedefine/>
    <w:uiPriority w:val="39"/>
    <w:unhideWhenUsed/>
    <w:qFormat/>
    <w:pPr>
      <w:spacing w:line="240" w:lineRule="auto"/>
      <w:ind w:left="420"/>
      <w:jc w:val="left"/>
    </w:pPr>
    <w:rPr>
      <w:i/>
      <w:iCs/>
      <w:szCs w:val="20"/>
    </w:rPr>
  </w:style>
  <w:style w:type="paragraph" w:styleId="a7">
    <w:name w:val="Plain Text"/>
    <w:basedOn w:val="a"/>
    <w:link w:val="Char3"/>
    <w:autoRedefine/>
    <w:uiPriority w:val="99"/>
    <w:semiHidden/>
    <w:unhideWhenUsed/>
    <w:qFormat/>
    <w:rPr>
      <w:rFonts w:asciiTheme="minorEastAsia" w:hAnsi="Courier New" w:cs="Courier New"/>
    </w:rPr>
  </w:style>
  <w:style w:type="paragraph" w:styleId="8">
    <w:name w:val="toc 8"/>
    <w:basedOn w:val="a"/>
    <w:next w:val="a"/>
    <w:uiPriority w:val="39"/>
    <w:unhideWhenUsed/>
    <w:qFormat/>
    <w:pPr>
      <w:ind w:left="1470"/>
      <w:jc w:val="left"/>
    </w:pPr>
    <w:rPr>
      <w:rFonts w:eastAsiaTheme="minorHAnsi"/>
      <w:sz w:val="18"/>
      <w:szCs w:val="18"/>
    </w:rPr>
  </w:style>
  <w:style w:type="paragraph" w:styleId="a8">
    <w:name w:val="Date"/>
    <w:basedOn w:val="a"/>
    <w:next w:val="a"/>
    <w:link w:val="Char4"/>
    <w:autoRedefine/>
    <w:uiPriority w:val="99"/>
    <w:semiHidden/>
    <w:unhideWhenUsed/>
    <w:qFormat/>
    <w:pPr>
      <w:ind w:leftChars="2500" w:left="100"/>
    </w:pPr>
  </w:style>
  <w:style w:type="paragraph" w:styleId="a9">
    <w:name w:val="Balloon Text"/>
    <w:basedOn w:val="a"/>
    <w:link w:val="Char5"/>
    <w:uiPriority w:val="99"/>
    <w:semiHidden/>
    <w:unhideWhenUsed/>
    <w:qFormat/>
    <w:rPr>
      <w:sz w:val="18"/>
      <w:szCs w:val="18"/>
    </w:rPr>
  </w:style>
  <w:style w:type="paragraph" w:styleId="aa">
    <w:name w:val="footer"/>
    <w:basedOn w:val="a"/>
    <w:link w:val="Char6"/>
    <w:uiPriority w:val="99"/>
    <w:unhideWhenUsed/>
    <w:qFormat/>
    <w:pPr>
      <w:tabs>
        <w:tab w:val="center" w:pos="4153"/>
        <w:tab w:val="right" w:pos="8306"/>
      </w:tabs>
      <w:snapToGrid w:val="0"/>
      <w:jc w:val="left"/>
    </w:pPr>
    <w:rPr>
      <w:sz w:val="18"/>
      <w:szCs w:val="18"/>
    </w:rPr>
  </w:style>
  <w:style w:type="paragraph" w:styleId="ab">
    <w:name w:val="header"/>
    <w:basedOn w:val="a"/>
    <w:link w:val="Char7"/>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unhideWhenUsed/>
    <w:qFormat/>
    <w:pPr>
      <w:tabs>
        <w:tab w:val="right" w:leader="dot" w:pos="9060"/>
      </w:tabs>
      <w:spacing w:line="240" w:lineRule="auto"/>
      <w:jc w:val="left"/>
    </w:pPr>
    <w:rPr>
      <w:b/>
      <w:bCs/>
      <w:caps/>
      <w:szCs w:val="20"/>
    </w:rPr>
  </w:style>
  <w:style w:type="paragraph" w:styleId="40">
    <w:name w:val="toc 4"/>
    <w:basedOn w:val="a"/>
    <w:next w:val="a"/>
    <w:autoRedefine/>
    <w:uiPriority w:val="39"/>
    <w:unhideWhenUsed/>
    <w:qFormat/>
    <w:pPr>
      <w:ind w:left="630"/>
      <w:jc w:val="left"/>
    </w:pPr>
    <w:rPr>
      <w:sz w:val="18"/>
      <w:szCs w:val="18"/>
    </w:rPr>
  </w:style>
  <w:style w:type="paragraph" w:styleId="6">
    <w:name w:val="toc 6"/>
    <w:basedOn w:val="a"/>
    <w:next w:val="a"/>
    <w:autoRedefine/>
    <w:uiPriority w:val="39"/>
    <w:unhideWhenUsed/>
    <w:qFormat/>
    <w:pPr>
      <w:ind w:left="1050"/>
      <w:jc w:val="left"/>
    </w:pPr>
    <w:rPr>
      <w:sz w:val="18"/>
      <w:szCs w:val="18"/>
    </w:rPr>
  </w:style>
  <w:style w:type="paragraph" w:styleId="20">
    <w:name w:val="toc 2"/>
    <w:basedOn w:val="a"/>
    <w:next w:val="a"/>
    <w:autoRedefine/>
    <w:uiPriority w:val="39"/>
    <w:unhideWhenUsed/>
    <w:qFormat/>
    <w:pPr>
      <w:spacing w:line="240" w:lineRule="auto"/>
      <w:ind w:left="210"/>
      <w:jc w:val="left"/>
    </w:pPr>
    <w:rPr>
      <w:smallCaps/>
      <w:szCs w:val="20"/>
    </w:rPr>
  </w:style>
  <w:style w:type="paragraph" w:styleId="9">
    <w:name w:val="toc 9"/>
    <w:basedOn w:val="a"/>
    <w:next w:val="a"/>
    <w:autoRedefine/>
    <w:uiPriority w:val="39"/>
    <w:unhideWhenUsed/>
    <w:qFormat/>
    <w:pPr>
      <w:ind w:left="1680"/>
      <w:jc w:val="left"/>
    </w:pPr>
    <w:rPr>
      <w:rFonts w:eastAsiaTheme="minorHAnsi"/>
      <w:sz w:val="18"/>
      <w:szCs w:val="18"/>
    </w:rPr>
  </w:style>
  <w:style w:type="paragraph" w:styleId="ac">
    <w:name w:val="Normal (Web)"/>
    <w:basedOn w:val="a"/>
    <w:autoRedefine/>
    <w:uiPriority w:val="99"/>
    <w:semiHidden/>
    <w:unhideWhenUsed/>
    <w:qFormat/>
    <w:rPr>
      <w:rFonts w:ascii="Times New Roman" w:hAnsi="Times New Roman" w:cs="宋体"/>
      <w:sz w:val="24"/>
      <w:szCs w:val="24"/>
    </w:rPr>
  </w:style>
  <w:style w:type="paragraph" w:styleId="ad">
    <w:name w:val="Title"/>
    <w:basedOn w:val="a"/>
    <w:next w:val="a"/>
    <w:link w:val="Char8"/>
    <w:autoRedefine/>
    <w:uiPriority w:val="10"/>
    <w:qFormat/>
    <w:pPr>
      <w:spacing w:before="240" w:after="60"/>
      <w:jc w:val="center"/>
      <w:outlineLvl w:val="0"/>
    </w:pPr>
    <w:rPr>
      <w:rFonts w:asciiTheme="majorHAnsi" w:eastAsiaTheme="majorEastAsia" w:hAnsiTheme="majorHAnsi" w:cstheme="majorBidi"/>
      <w:b/>
      <w:bCs/>
      <w:sz w:val="32"/>
      <w:szCs w:val="32"/>
    </w:rPr>
  </w:style>
  <w:style w:type="paragraph" w:styleId="ae">
    <w:name w:val="annotation subject"/>
    <w:basedOn w:val="a5"/>
    <w:next w:val="a5"/>
    <w:link w:val="Char9"/>
    <w:autoRedefine/>
    <w:uiPriority w:val="99"/>
    <w:semiHidden/>
    <w:unhideWhenUsed/>
    <w:qFormat/>
    <w:rPr>
      <w:b/>
      <w:bCs/>
    </w:rPr>
  </w:style>
  <w:style w:type="table" w:styleId="af">
    <w:name w:val="Table Grid"/>
    <w:basedOn w:val="a1"/>
    <w:autoRedefin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autoRedefine/>
    <w:uiPriority w:val="61"/>
    <w:semiHidden/>
    <w:unhideWhenUsed/>
    <w:qFormat/>
    <w:rPr>
      <w:rFonts w:ascii="Times New Roman" w:eastAsia="宋体" w:hAnsi="Times New Roman" w:cs="Times New Roman"/>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character" w:styleId="af0">
    <w:name w:val="Strong"/>
    <w:basedOn w:val="a0"/>
    <w:autoRedefine/>
    <w:uiPriority w:val="22"/>
    <w:qFormat/>
    <w:rPr>
      <w:b/>
      <w:bCs/>
    </w:rPr>
  </w:style>
  <w:style w:type="character" w:styleId="af1">
    <w:name w:val="Hyperlink"/>
    <w:basedOn w:val="a0"/>
    <w:autoRedefine/>
    <w:uiPriority w:val="99"/>
    <w:unhideWhenUsed/>
    <w:qFormat/>
    <w:rPr>
      <w:color w:val="0000FF"/>
      <w:u w:val="single"/>
    </w:rPr>
  </w:style>
  <w:style w:type="character" w:styleId="HTML">
    <w:name w:val="HTML Code"/>
    <w:basedOn w:val="a0"/>
    <w:autoRedefine/>
    <w:uiPriority w:val="99"/>
    <w:semiHidden/>
    <w:unhideWhenUsed/>
    <w:qFormat/>
    <w:rPr>
      <w:rFonts w:ascii="Courier New" w:hAnsi="Courier New" w:cs="Courier New"/>
      <w:sz w:val="20"/>
      <w:szCs w:val="20"/>
    </w:rPr>
  </w:style>
  <w:style w:type="character" w:styleId="af2">
    <w:name w:val="annotation reference"/>
    <w:basedOn w:val="a0"/>
    <w:autoRedefine/>
    <w:uiPriority w:val="99"/>
    <w:semiHidden/>
    <w:unhideWhenUsed/>
    <w:qFormat/>
    <w:rPr>
      <w:sz w:val="21"/>
      <w:szCs w:val="21"/>
    </w:rPr>
  </w:style>
  <w:style w:type="paragraph" w:customStyle="1" w:styleId="af3">
    <w:name w:val="代码样式"/>
    <w:link w:val="Chara"/>
    <w:autoRedefine/>
    <w:qFormat/>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Chars="50" w:left="50" w:rightChars="50" w:right="50"/>
    </w:pPr>
    <w:rPr>
      <w:kern w:val="2"/>
      <w:sz w:val="21"/>
      <w:szCs w:val="21"/>
    </w:rPr>
  </w:style>
  <w:style w:type="character" w:customStyle="1" w:styleId="Chara">
    <w:name w:val="代码样式 Char"/>
    <w:basedOn w:val="a0"/>
    <w:link w:val="af3"/>
    <w:autoRedefine/>
    <w:qFormat/>
    <w:rPr>
      <w:shd w:val="clear" w:color="auto" w:fill="A8D08D" w:themeFill="accent6" w:themeFillTint="99"/>
    </w:rPr>
  </w:style>
  <w:style w:type="character" w:customStyle="1" w:styleId="1Char">
    <w:name w:val="标题 1 Char"/>
    <w:basedOn w:val="a0"/>
    <w:link w:val="1"/>
    <w:autoRedefine/>
    <w:uiPriority w:val="9"/>
    <w:qFormat/>
    <w:rPr>
      <w:rFonts w:ascii="宋体" w:eastAsia="宋体" w:hAnsi="宋体" w:cs="宋体"/>
      <w:b/>
      <w:bCs/>
      <w:kern w:val="2"/>
      <w:sz w:val="24"/>
      <w:szCs w:val="24"/>
    </w:rPr>
  </w:style>
  <w:style w:type="character" w:customStyle="1" w:styleId="2Char">
    <w:name w:val="标题 2 Char"/>
    <w:basedOn w:val="a0"/>
    <w:link w:val="2"/>
    <w:autoRedefine/>
    <w:uiPriority w:val="9"/>
    <w:qFormat/>
    <w:rPr>
      <w:rFonts w:asciiTheme="majorHAnsi" w:eastAsia="宋体" w:hAnsiTheme="majorHAnsi" w:cstheme="majorBidi"/>
      <w:b/>
      <w:bCs/>
      <w:sz w:val="24"/>
      <w:szCs w:val="32"/>
    </w:rPr>
  </w:style>
  <w:style w:type="character" w:customStyle="1" w:styleId="3Char">
    <w:name w:val="标题 3 Char"/>
    <w:basedOn w:val="a0"/>
    <w:link w:val="3"/>
    <w:autoRedefine/>
    <w:uiPriority w:val="9"/>
    <w:qFormat/>
    <w:rPr>
      <w:rFonts w:eastAsia="宋体"/>
      <w:b/>
      <w:bCs/>
      <w:sz w:val="24"/>
      <w:szCs w:val="32"/>
    </w:rPr>
  </w:style>
  <w:style w:type="character" w:customStyle="1" w:styleId="4Char">
    <w:name w:val="标题 4 Char"/>
    <w:basedOn w:val="a0"/>
    <w:link w:val="4"/>
    <w:autoRedefine/>
    <w:uiPriority w:val="9"/>
    <w:semiHidden/>
    <w:qFormat/>
    <w:rPr>
      <w:rFonts w:asciiTheme="majorHAnsi" w:eastAsiaTheme="majorEastAsia" w:hAnsiTheme="majorHAnsi" w:cstheme="majorBidi"/>
      <w:b/>
      <w:bCs/>
      <w:sz w:val="28"/>
      <w:szCs w:val="28"/>
    </w:rPr>
  </w:style>
  <w:style w:type="character" w:customStyle="1" w:styleId="Char">
    <w:name w:val="正文缩进 Char"/>
    <w:link w:val="a3"/>
    <w:autoRedefine/>
    <w:uiPriority w:val="99"/>
    <w:semiHidden/>
    <w:qFormat/>
    <w:rPr>
      <w:rFonts w:asciiTheme="minorHAnsi" w:eastAsiaTheme="minorEastAsia" w:hAnsiTheme="minorHAnsi" w:cstheme="minorBidi"/>
      <w:sz w:val="21"/>
      <w:szCs w:val="22"/>
    </w:rPr>
  </w:style>
  <w:style w:type="character" w:customStyle="1" w:styleId="Char1">
    <w:name w:val="批注文字 Char"/>
    <w:basedOn w:val="a0"/>
    <w:link w:val="a5"/>
    <w:autoRedefine/>
    <w:uiPriority w:val="99"/>
    <w:semiHidden/>
    <w:qFormat/>
    <w:rPr>
      <w:rFonts w:asciiTheme="minorHAnsi" w:eastAsiaTheme="minorEastAsia" w:hAnsiTheme="minorHAnsi" w:cstheme="minorBidi"/>
      <w:sz w:val="21"/>
      <w:szCs w:val="22"/>
    </w:rPr>
  </w:style>
  <w:style w:type="character" w:customStyle="1" w:styleId="Char7">
    <w:name w:val="页眉 Char"/>
    <w:basedOn w:val="a0"/>
    <w:link w:val="ab"/>
    <w:autoRedefine/>
    <w:uiPriority w:val="99"/>
    <w:qFormat/>
    <w:rPr>
      <w:rFonts w:asciiTheme="minorHAnsi" w:eastAsiaTheme="minorEastAsia" w:hAnsiTheme="minorHAnsi" w:cstheme="minorBidi"/>
      <w:sz w:val="18"/>
      <w:szCs w:val="18"/>
    </w:rPr>
  </w:style>
  <w:style w:type="character" w:customStyle="1" w:styleId="Char6">
    <w:name w:val="页脚 Char"/>
    <w:basedOn w:val="a0"/>
    <w:link w:val="aa"/>
    <w:autoRedefine/>
    <w:uiPriority w:val="99"/>
    <w:qFormat/>
    <w:rPr>
      <w:rFonts w:asciiTheme="minorHAnsi" w:eastAsiaTheme="minorEastAsia" w:hAnsiTheme="minorHAnsi" w:cstheme="minorBidi"/>
      <w:sz w:val="18"/>
      <w:szCs w:val="18"/>
    </w:rPr>
  </w:style>
  <w:style w:type="character" w:customStyle="1" w:styleId="Char2">
    <w:name w:val="正文文本 Char"/>
    <w:basedOn w:val="a0"/>
    <w:link w:val="a6"/>
    <w:autoRedefine/>
    <w:uiPriority w:val="99"/>
    <w:semiHidden/>
    <w:qFormat/>
    <w:rPr>
      <w:rFonts w:asciiTheme="minorHAnsi" w:eastAsiaTheme="minorEastAsia" w:hAnsiTheme="minorHAnsi" w:cstheme="minorBidi"/>
      <w:sz w:val="21"/>
      <w:szCs w:val="22"/>
    </w:rPr>
  </w:style>
  <w:style w:type="character" w:customStyle="1" w:styleId="Char4">
    <w:name w:val="日期 Char"/>
    <w:basedOn w:val="a0"/>
    <w:link w:val="a8"/>
    <w:autoRedefine/>
    <w:uiPriority w:val="99"/>
    <w:semiHidden/>
    <w:qFormat/>
    <w:rPr>
      <w:rFonts w:asciiTheme="minorHAnsi" w:eastAsiaTheme="minorEastAsia" w:hAnsiTheme="minorHAnsi" w:cstheme="minorBidi"/>
      <w:sz w:val="21"/>
      <w:szCs w:val="22"/>
    </w:rPr>
  </w:style>
  <w:style w:type="character" w:customStyle="1" w:styleId="Char3">
    <w:name w:val="纯文本 Char"/>
    <w:basedOn w:val="a0"/>
    <w:link w:val="a7"/>
    <w:autoRedefine/>
    <w:uiPriority w:val="99"/>
    <w:semiHidden/>
    <w:qFormat/>
    <w:rPr>
      <w:rFonts w:asciiTheme="minorEastAsia" w:eastAsiaTheme="minorEastAsia" w:hAnsi="Courier New" w:cs="Courier New"/>
      <w:sz w:val="21"/>
      <w:szCs w:val="22"/>
    </w:rPr>
  </w:style>
  <w:style w:type="character" w:customStyle="1" w:styleId="Char9">
    <w:name w:val="批注主题 Char"/>
    <w:basedOn w:val="Char1"/>
    <w:link w:val="ae"/>
    <w:autoRedefine/>
    <w:uiPriority w:val="99"/>
    <w:semiHidden/>
    <w:qFormat/>
    <w:rPr>
      <w:rFonts w:asciiTheme="minorHAnsi" w:eastAsiaTheme="minorEastAsia" w:hAnsiTheme="minorHAnsi" w:cstheme="minorBidi"/>
      <w:b/>
      <w:bCs/>
      <w:sz w:val="21"/>
      <w:szCs w:val="22"/>
    </w:rPr>
  </w:style>
  <w:style w:type="character" w:customStyle="1" w:styleId="Char5">
    <w:name w:val="批注框文本 Char"/>
    <w:basedOn w:val="a0"/>
    <w:link w:val="a9"/>
    <w:autoRedefine/>
    <w:uiPriority w:val="99"/>
    <w:semiHidden/>
    <w:qFormat/>
    <w:rPr>
      <w:rFonts w:asciiTheme="minorHAnsi" w:eastAsiaTheme="minorEastAsia" w:hAnsiTheme="minorHAnsi" w:cstheme="minorBidi"/>
      <w:sz w:val="18"/>
      <w:szCs w:val="18"/>
    </w:rPr>
  </w:style>
  <w:style w:type="paragraph" w:styleId="af4">
    <w:name w:val="List Paragraph"/>
    <w:basedOn w:val="a"/>
    <w:uiPriority w:val="34"/>
    <w:qFormat/>
    <w:pPr>
      <w:ind w:firstLineChars="200" w:firstLine="420"/>
    </w:pPr>
  </w:style>
  <w:style w:type="character" w:customStyle="1" w:styleId="Char8">
    <w:name w:val="标题 Char"/>
    <w:basedOn w:val="a0"/>
    <w:link w:val="ad"/>
    <w:autoRedefine/>
    <w:uiPriority w:val="10"/>
    <w:qFormat/>
    <w:rPr>
      <w:rFonts w:asciiTheme="majorHAnsi" w:eastAsiaTheme="majorEastAsia" w:hAnsiTheme="majorHAnsi" w:cstheme="majorBidi"/>
      <w:b/>
      <w:bCs/>
      <w:sz w:val="32"/>
      <w:szCs w:val="32"/>
    </w:rPr>
  </w:style>
  <w:style w:type="paragraph" w:customStyle="1" w:styleId="biaogeleft">
    <w:name w:val="biaoge_left"/>
    <w:basedOn w:val="a"/>
    <w:autoRedefine/>
    <w:qFormat/>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a"/>
    <w:autoRedefine/>
    <w:qFormat/>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a"/>
    <w:autoRedefine/>
    <w:qFormat/>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a0"/>
    <w:autoRedefine/>
    <w:uiPriority w:val="1"/>
    <w:qFormat/>
    <w:rPr>
      <w:rFonts w:ascii="宋体" w:eastAsia="宋体" w:hAnsi="宋体"/>
      <w:color w:val="000000" w:themeColor="text1"/>
      <w:sz w:val="21"/>
    </w:rPr>
  </w:style>
  <w:style w:type="paragraph" w:customStyle="1" w:styleId="TOC1">
    <w:name w:val="TOC 标题1"/>
    <w:basedOn w:val="1"/>
    <w:next w:val="a"/>
    <w:autoRedefine/>
    <w:uiPriority w:val="39"/>
    <w:unhideWhenUsed/>
    <w:qFormat/>
    <w:pPr>
      <w:keepNext/>
      <w:keepLines/>
      <w:widowControl/>
      <w:spacing w:before="24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Char0">
    <w:name w:val="文档结构图 Char"/>
    <w:basedOn w:val="a0"/>
    <w:link w:val="a4"/>
    <w:autoRedefine/>
    <w:uiPriority w:val="99"/>
    <w:semiHidden/>
    <w:qFormat/>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AB09A-4CE8-4DF2-9529-445430720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8</Pages>
  <Words>1241</Words>
  <Characters>7077</Characters>
  <Application>Microsoft Office Word</Application>
  <DocSecurity>0</DocSecurity>
  <Lines>58</Lines>
  <Paragraphs>16</Paragraphs>
  <ScaleCrop>false</ScaleCrop>
  <Company/>
  <LinksUpToDate>false</LinksUpToDate>
  <CharactersWithSpaces>8302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lidongwan</dc:creator>
  <cp:lastModifiedBy>尹旭航</cp:lastModifiedBy>
  <cp:revision>17</cp:revision>
  <cp:lastPrinted>2025-03-17T02:19:00Z</cp:lastPrinted>
  <dcterms:created xsi:type="dcterms:W3CDTF">2020-03-27T02:14:00Z</dcterms:created>
  <dcterms:modified xsi:type="dcterms:W3CDTF">2026-10-13T03:37:00Z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F35F53F4A92E4350BC4D35A19EDA4E15_13</vt:lpwstr>
  </property>
  <property fmtid="{D5CDD505-2E9C-101B-9397-08002B2CF9AE}" pid="4" name="KSOTemplateDocerSaveRecord">
    <vt:lpwstr>eyJoZGlkIjoiYjk3NzFmZmI0ZGI1YjNiMjVkZDdmZjc1YmJkYWI1YWMiLCJ1c2VySWQiOiI3MzM5MDk1MTcifQ==</vt:lpwstr>
  </property>
</Properties>
</file>