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0F91B">
      <w:pPr>
        <w:autoSpaceDE/>
        <w:autoSpaceDN/>
        <w:jc w:val="center"/>
        <w:rPr>
          <w:rFonts w:ascii="Times New Roman" w:hAnsi="Times New Roman" w:cs="Times New Roman"/>
          <w:b/>
          <w:color w:val="000000"/>
          <w:kern w:val="2"/>
          <w:sz w:val="52"/>
          <w:szCs w:val="20"/>
          <w:lang w:eastAsia="zh-CN" w:bidi="ar-SA"/>
        </w:rPr>
      </w:pPr>
    </w:p>
    <w:p w14:paraId="32599CC1">
      <w:pPr>
        <w:autoSpaceDE/>
        <w:autoSpaceDN/>
        <w:jc w:val="center"/>
        <w:rPr>
          <w:rFonts w:ascii="Times New Roman" w:hAnsi="Times New Roman" w:cs="Times New Roman"/>
          <w:b/>
          <w:color w:val="000000"/>
          <w:kern w:val="2"/>
          <w:sz w:val="52"/>
          <w:szCs w:val="20"/>
          <w:lang w:eastAsia="zh-CN" w:bidi="ar-SA"/>
        </w:rPr>
      </w:pPr>
    </w:p>
    <w:p w14:paraId="23B41133">
      <w:pPr>
        <w:autoSpaceDE/>
        <w:autoSpaceDN/>
        <w:jc w:val="center"/>
        <w:rPr>
          <w:rFonts w:ascii="Times New Roman" w:hAnsi="Times New Roman" w:cs="Times New Roman"/>
          <w:b/>
          <w:color w:val="000000"/>
          <w:kern w:val="2"/>
          <w:sz w:val="52"/>
          <w:szCs w:val="20"/>
          <w:lang w:eastAsia="zh-CN" w:bidi="ar-SA"/>
        </w:rPr>
      </w:pPr>
    </w:p>
    <w:p w14:paraId="368093F3">
      <w:pPr>
        <w:autoSpaceDE/>
        <w:autoSpaceDN/>
        <w:jc w:val="center"/>
        <w:rPr>
          <w:rFonts w:ascii="Times New Roman" w:hAnsi="Times New Roman" w:cs="Times New Roman"/>
          <w:b/>
          <w:color w:val="000000"/>
          <w:kern w:val="2"/>
          <w:sz w:val="52"/>
          <w:szCs w:val="20"/>
          <w:lang w:eastAsia="zh-CN" w:bidi="ar-SA"/>
        </w:rPr>
      </w:pPr>
    </w:p>
    <w:p w14:paraId="3DDA1686">
      <w:pPr>
        <w:autoSpaceDE/>
        <w:autoSpaceDN/>
        <w:jc w:val="center"/>
        <w:rPr>
          <w:rFonts w:ascii="Times New Roman" w:hAnsi="Times New Roman" w:cs="Times New Roman"/>
          <w:b/>
          <w:color w:val="000000"/>
          <w:kern w:val="2"/>
          <w:sz w:val="52"/>
          <w:szCs w:val="20"/>
          <w:lang w:eastAsia="zh-CN" w:bidi="ar-SA"/>
        </w:rPr>
      </w:pPr>
      <w:r>
        <w:rPr>
          <w:rFonts w:hint="eastAsia" w:ascii="Times New Roman" w:hAnsi="Times New Roman" w:cs="Times New Roman"/>
          <w:b/>
          <w:color w:val="000000"/>
          <w:kern w:val="2"/>
          <w:sz w:val="52"/>
          <w:szCs w:val="20"/>
          <w:lang w:eastAsia="zh-CN" w:bidi="ar-SA"/>
        </w:rPr>
        <w:t>国新国证</w:t>
      </w:r>
      <w:r>
        <w:rPr>
          <w:rFonts w:ascii="Times New Roman" w:hAnsi="Times New Roman" w:cs="Times New Roman"/>
          <w:b/>
          <w:color w:val="000000"/>
          <w:kern w:val="2"/>
          <w:sz w:val="52"/>
          <w:szCs w:val="20"/>
          <w:lang w:eastAsia="zh-CN" w:bidi="ar-SA"/>
        </w:rPr>
        <w:t>基金管理有限公司</w:t>
      </w:r>
    </w:p>
    <w:p w14:paraId="7BC19DCB">
      <w:pPr>
        <w:autoSpaceDE/>
        <w:autoSpaceDN/>
        <w:jc w:val="center"/>
        <w:rPr>
          <w:rFonts w:ascii="Times New Roman" w:hAnsi="Times New Roman" w:cs="Times New Roman"/>
          <w:b/>
          <w:color w:val="000000"/>
          <w:kern w:val="2"/>
          <w:sz w:val="52"/>
          <w:szCs w:val="20"/>
          <w:lang w:eastAsia="zh-CN" w:bidi="ar-SA"/>
        </w:rPr>
      </w:pPr>
    </w:p>
    <w:p w14:paraId="5421BFF7">
      <w:pPr>
        <w:autoSpaceDE/>
        <w:autoSpaceDN/>
        <w:jc w:val="center"/>
        <w:rPr>
          <w:rFonts w:ascii="Times New Roman" w:hAnsi="Times New Roman" w:cs="Times New Roman"/>
          <w:b/>
          <w:color w:val="000000"/>
          <w:kern w:val="2"/>
          <w:sz w:val="52"/>
          <w:szCs w:val="20"/>
          <w:lang w:eastAsia="zh-CN" w:bidi="ar-SA"/>
        </w:rPr>
      </w:pPr>
    </w:p>
    <w:p w14:paraId="036151B9">
      <w:pPr>
        <w:adjustRightInd w:val="0"/>
        <w:snapToGrid w:val="0"/>
        <w:spacing w:line="360" w:lineRule="auto"/>
        <w:jc w:val="center"/>
        <w:rPr>
          <w:rFonts w:hint="eastAsia"/>
          <w:b/>
          <w:sz w:val="44"/>
          <w:lang w:eastAsia="zh-CN"/>
        </w:rPr>
      </w:pPr>
      <w:bookmarkStart w:id="0" w:name="_Toc123112223"/>
      <w:bookmarkStart w:id="1" w:name="_Toc123701382"/>
      <w:bookmarkStart w:id="2" w:name="_Toc139992300"/>
      <w:bookmarkStart w:id="3" w:name="_Toc123112262"/>
      <w:bookmarkStart w:id="4" w:name="_Toc139991725"/>
      <w:r>
        <w:rPr>
          <w:rFonts w:hint="eastAsia"/>
          <w:b/>
          <w:sz w:val="44"/>
          <w:lang w:eastAsia="zh-CN"/>
        </w:rPr>
        <w:t>国新国证鑫泰三个月定期开放债券型证券投资基金</w:t>
      </w:r>
      <w:bookmarkEnd w:id="0"/>
      <w:bookmarkEnd w:id="1"/>
      <w:bookmarkEnd w:id="2"/>
      <w:bookmarkEnd w:id="3"/>
      <w:bookmarkEnd w:id="4"/>
      <w:r>
        <w:rPr>
          <w:rFonts w:hint="eastAsia"/>
          <w:b/>
          <w:sz w:val="44"/>
          <w:lang w:eastAsia="zh-CN"/>
        </w:rPr>
        <w:t>招募说明书</w:t>
      </w:r>
    </w:p>
    <w:p w14:paraId="6DABE71A">
      <w:pPr>
        <w:adjustRightInd w:val="0"/>
        <w:snapToGrid w:val="0"/>
        <w:spacing w:line="360" w:lineRule="auto"/>
        <w:jc w:val="center"/>
        <w:rPr>
          <w:rFonts w:hint="eastAsia"/>
          <w:b/>
          <w:sz w:val="44"/>
          <w:lang w:eastAsia="zh-CN"/>
        </w:rPr>
      </w:pPr>
      <w:r>
        <w:rPr>
          <w:rFonts w:hint="eastAsia"/>
          <w:b/>
          <w:sz w:val="44"/>
          <w:lang w:eastAsia="zh-CN"/>
        </w:rPr>
        <w:t>（</w:t>
      </w:r>
      <w:r>
        <w:rPr>
          <w:rFonts w:hint="eastAsia"/>
          <w:b/>
          <w:sz w:val="44"/>
          <w:lang w:val="en-US" w:eastAsia="zh-CN"/>
        </w:rPr>
        <w:t>更新</w:t>
      </w:r>
      <w:r>
        <w:rPr>
          <w:rFonts w:hint="eastAsia"/>
          <w:b/>
          <w:sz w:val="44"/>
          <w:lang w:eastAsia="zh-CN"/>
        </w:rPr>
        <w:t>）</w:t>
      </w:r>
    </w:p>
    <w:p w14:paraId="0C214162">
      <w:pPr>
        <w:jc w:val="center"/>
        <w:rPr>
          <w:b/>
          <w:color w:val="000000"/>
          <w:sz w:val="44"/>
          <w:lang w:eastAsia="zh-CN"/>
        </w:rPr>
      </w:pPr>
    </w:p>
    <w:p w14:paraId="4F51DB68">
      <w:pPr>
        <w:jc w:val="center"/>
        <w:rPr>
          <w:b/>
          <w:color w:val="000000"/>
          <w:sz w:val="44"/>
          <w:lang w:eastAsia="zh-CN"/>
        </w:rPr>
      </w:pPr>
    </w:p>
    <w:p w14:paraId="43787BFD">
      <w:pPr>
        <w:jc w:val="center"/>
        <w:rPr>
          <w:b/>
          <w:color w:val="000000"/>
          <w:sz w:val="52"/>
          <w:lang w:eastAsia="zh-CN"/>
        </w:rPr>
      </w:pPr>
    </w:p>
    <w:p w14:paraId="313B4F46">
      <w:pPr>
        <w:jc w:val="center"/>
        <w:rPr>
          <w:b/>
          <w:color w:val="000000"/>
          <w:sz w:val="52"/>
          <w:lang w:eastAsia="zh-CN"/>
        </w:rPr>
      </w:pPr>
    </w:p>
    <w:p w14:paraId="3EC89D2C">
      <w:pPr>
        <w:jc w:val="center"/>
        <w:rPr>
          <w:b/>
          <w:color w:val="000000"/>
          <w:sz w:val="52"/>
          <w:lang w:eastAsia="zh-CN"/>
        </w:rPr>
      </w:pPr>
    </w:p>
    <w:p w14:paraId="17087880">
      <w:pPr>
        <w:rPr>
          <w:b/>
          <w:color w:val="000000"/>
          <w:sz w:val="52"/>
          <w:lang w:eastAsia="zh-CN"/>
        </w:rPr>
      </w:pPr>
    </w:p>
    <w:p w14:paraId="79A2CC6C">
      <w:pPr>
        <w:rPr>
          <w:b/>
          <w:color w:val="000000"/>
          <w:lang w:eastAsia="zh-CN"/>
        </w:rPr>
      </w:pPr>
    </w:p>
    <w:p w14:paraId="56E8E9CC">
      <w:pPr>
        <w:ind w:left="1100" w:leftChars="500"/>
        <w:rPr>
          <w:b/>
          <w:color w:val="000000"/>
          <w:sz w:val="32"/>
          <w:szCs w:val="32"/>
          <w:lang w:eastAsia="zh-CN"/>
        </w:rPr>
      </w:pPr>
      <w:bookmarkStart w:id="5" w:name="_Toc123112263"/>
      <w:bookmarkStart w:id="6" w:name="_Toc139991726"/>
      <w:bookmarkStart w:id="7" w:name="_Toc123112224"/>
      <w:bookmarkStart w:id="8" w:name="_Toc123701383"/>
      <w:bookmarkStart w:id="9" w:name="_Toc139992301"/>
      <w:r>
        <w:rPr>
          <w:b/>
          <w:color w:val="000000"/>
          <w:sz w:val="32"/>
          <w:szCs w:val="32"/>
          <w:lang w:eastAsia="zh-CN"/>
        </w:rPr>
        <w:t>基金管理人：</w:t>
      </w:r>
      <w:bookmarkEnd w:id="5"/>
      <w:bookmarkEnd w:id="6"/>
      <w:bookmarkEnd w:id="7"/>
      <w:bookmarkEnd w:id="8"/>
      <w:bookmarkEnd w:id="9"/>
      <w:r>
        <w:rPr>
          <w:rFonts w:hint="eastAsia"/>
          <w:b/>
          <w:color w:val="000000"/>
          <w:sz w:val="32"/>
          <w:szCs w:val="32"/>
          <w:lang w:eastAsia="zh-CN"/>
        </w:rPr>
        <w:t>国新国证</w:t>
      </w:r>
      <w:r>
        <w:rPr>
          <w:b/>
          <w:color w:val="000000"/>
          <w:sz w:val="32"/>
          <w:szCs w:val="32"/>
          <w:lang w:eastAsia="zh-CN"/>
        </w:rPr>
        <w:t>基金管理有限公司</w:t>
      </w:r>
    </w:p>
    <w:p w14:paraId="5DBF855B">
      <w:pPr>
        <w:adjustRightInd w:val="0"/>
        <w:snapToGrid w:val="0"/>
        <w:spacing w:line="360" w:lineRule="auto"/>
        <w:ind w:left="1100" w:leftChars="500"/>
        <w:rPr>
          <w:b/>
          <w:sz w:val="32"/>
          <w:szCs w:val="32"/>
          <w:lang w:eastAsia="zh-CN"/>
        </w:rPr>
      </w:pPr>
      <w:bookmarkStart w:id="10" w:name="_Toc139991727"/>
      <w:bookmarkStart w:id="11" w:name="_Toc123112225"/>
      <w:bookmarkStart w:id="12" w:name="_Toc139992302"/>
      <w:bookmarkStart w:id="13" w:name="_Toc123112264"/>
      <w:bookmarkStart w:id="14" w:name="_Toc123701384"/>
      <w:r>
        <w:rPr>
          <w:b/>
          <w:color w:val="000000"/>
          <w:sz w:val="32"/>
          <w:szCs w:val="32"/>
          <w:lang w:eastAsia="zh-CN"/>
        </w:rPr>
        <w:t>基金托管人：</w:t>
      </w:r>
      <w:bookmarkEnd w:id="10"/>
      <w:bookmarkEnd w:id="11"/>
      <w:bookmarkEnd w:id="12"/>
      <w:bookmarkEnd w:id="13"/>
      <w:bookmarkEnd w:id="14"/>
      <w:r>
        <w:rPr>
          <w:rFonts w:hint="eastAsia"/>
          <w:b/>
          <w:color w:val="000000"/>
          <w:sz w:val="32"/>
          <w:szCs w:val="32"/>
          <w:lang w:eastAsia="zh-CN"/>
        </w:rPr>
        <w:t>上海浦东发展银行股份有限公司</w:t>
      </w:r>
    </w:p>
    <w:p w14:paraId="44714140">
      <w:pPr>
        <w:autoSpaceDE/>
        <w:autoSpaceDN/>
        <w:jc w:val="center"/>
        <w:rPr>
          <w:rFonts w:ascii="Times New Roman" w:hAnsi="Times New Roman" w:cs="Times New Roman"/>
          <w:bCs/>
          <w:color w:val="000000"/>
          <w:kern w:val="2"/>
          <w:sz w:val="32"/>
          <w:szCs w:val="20"/>
          <w:lang w:eastAsia="zh-CN" w:bidi="ar-SA"/>
        </w:rPr>
      </w:pPr>
    </w:p>
    <w:p w14:paraId="08613D36">
      <w:pPr>
        <w:autoSpaceDE/>
        <w:autoSpaceDN/>
        <w:jc w:val="center"/>
        <w:rPr>
          <w:rFonts w:ascii="Times New Roman" w:hAnsi="Times New Roman" w:cs="Times New Roman"/>
          <w:bCs/>
          <w:color w:val="000000"/>
          <w:kern w:val="2"/>
          <w:sz w:val="32"/>
          <w:szCs w:val="20"/>
          <w:lang w:eastAsia="zh-CN" w:bidi="ar-SA"/>
        </w:rPr>
      </w:pPr>
    </w:p>
    <w:p w14:paraId="1611B187">
      <w:pPr>
        <w:autoSpaceDE/>
        <w:autoSpaceDN/>
        <w:jc w:val="center"/>
        <w:rPr>
          <w:rFonts w:ascii="Times New Roman" w:hAnsi="Times New Roman" w:cs="Times New Roman"/>
          <w:bCs/>
          <w:color w:val="000000"/>
          <w:kern w:val="2"/>
          <w:sz w:val="32"/>
          <w:szCs w:val="20"/>
          <w:lang w:eastAsia="zh-CN" w:bidi="ar-SA"/>
        </w:rPr>
      </w:pPr>
      <w:r>
        <w:rPr>
          <w:rFonts w:hint="eastAsia" w:ascii="Times New Roman" w:hAnsi="Times New Roman" w:cs="Times New Roman"/>
          <w:bCs/>
          <w:color w:val="000000"/>
          <w:kern w:val="2"/>
          <w:sz w:val="32"/>
          <w:szCs w:val="20"/>
          <w:lang w:eastAsia="zh-CN" w:bidi="ar-SA"/>
        </w:rPr>
        <w:t>二〇二</w:t>
      </w:r>
      <w:r>
        <w:rPr>
          <w:rFonts w:hint="eastAsia" w:ascii="Times New Roman" w:hAnsi="Times New Roman" w:cs="Times New Roman"/>
          <w:bCs/>
          <w:color w:val="000000"/>
          <w:kern w:val="2"/>
          <w:sz w:val="32"/>
          <w:szCs w:val="20"/>
          <w:lang w:val="en-US" w:eastAsia="zh-CN" w:bidi="ar-SA"/>
        </w:rPr>
        <w:t>六</w:t>
      </w:r>
      <w:r>
        <w:rPr>
          <w:rFonts w:hint="eastAsia" w:ascii="Times New Roman" w:hAnsi="Times New Roman" w:cs="Times New Roman"/>
          <w:bCs/>
          <w:color w:val="000000"/>
          <w:kern w:val="2"/>
          <w:sz w:val="32"/>
          <w:szCs w:val="20"/>
          <w:lang w:eastAsia="zh-CN" w:bidi="ar-SA"/>
        </w:rPr>
        <w:t>年</w:t>
      </w:r>
      <w:r>
        <w:rPr>
          <w:rFonts w:hint="eastAsia" w:ascii="Times New Roman" w:hAnsi="Times New Roman" w:cs="Times New Roman"/>
          <w:bCs/>
          <w:color w:val="000000"/>
          <w:kern w:val="2"/>
          <w:sz w:val="32"/>
          <w:szCs w:val="20"/>
          <w:lang w:val="en-US" w:eastAsia="zh-CN" w:bidi="ar-SA"/>
        </w:rPr>
        <w:t>十</w:t>
      </w:r>
      <w:r>
        <w:rPr>
          <w:rFonts w:hint="eastAsia" w:ascii="Times New Roman" w:hAnsi="Times New Roman" w:cs="Times New Roman"/>
          <w:bCs/>
          <w:color w:val="000000"/>
          <w:kern w:val="2"/>
          <w:sz w:val="32"/>
          <w:szCs w:val="20"/>
          <w:lang w:eastAsia="zh-CN" w:bidi="ar-SA"/>
        </w:rPr>
        <w:t>月</w:t>
      </w:r>
    </w:p>
    <w:p w14:paraId="197D3257">
      <w:pPr>
        <w:rPr>
          <w:lang w:eastAsia="zh-CN"/>
        </w:rPr>
        <w:sectPr>
          <w:headerReference r:id="rId3" w:type="first"/>
          <w:footerReference r:id="rId4" w:type="first"/>
          <w:type w:val="continuous"/>
          <w:pgSz w:w="11910" w:h="16840"/>
          <w:pgMar w:top="1440" w:right="1800" w:bottom="1440" w:left="1800" w:header="720" w:footer="720" w:gutter="0"/>
          <w:cols w:space="720" w:num="1"/>
        </w:sectPr>
      </w:pPr>
    </w:p>
    <w:p w14:paraId="3939CCE3">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15" w:name="_Toc69831237"/>
      <w:r>
        <w:rPr>
          <w:rFonts w:ascii="Times New Roman" w:hAnsi="Times New Roman" w:cs="Times New Roman"/>
          <w:b/>
          <w:szCs w:val="20"/>
          <w:lang w:eastAsia="zh-CN" w:bidi="ar-SA"/>
        </w:rPr>
        <w:t>重要提示</w:t>
      </w:r>
      <w:bookmarkEnd w:id="15"/>
    </w:p>
    <w:p w14:paraId="25F24EC1">
      <w:pPr>
        <w:autoSpaceDE/>
        <w:autoSpaceDN/>
        <w:spacing w:line="360" w:lineRule="auto"/>
        <w:ind w:firstLine="480" w:firstLineChars="200"/>
        <w:jc w:val="both"/>
        <w:rPr>
          <w:rFonts w:ascii="Times New Roman" w:hAnsi="Times New Roman" w:cs="Times New Roman"/>
          <w:bCs/>
          <w:kern w:val="2"/>
          <w:sz w:val="24"/>
          <w:szCs w:val="20"/>
          <w:lang w:eastAsia="zh-CN" w:bidi="ar-SA"/>
        </w:rPr>
      </w:pPr>
    </w:p>
    <w:p w14:paraId="1FD7C743">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hint="eastAsia" w:ascii="Times New Roman" w:hAnsi="Times New Roman" w:cs="Times New Roman"/>
          <w:bCs/>
          <w:kern w:val="2"/>
          <w:sz w:val="24"/>
          <w:szCs w:val="20"/>
          <w:lang w:eastAsia="zh-CN" w:bidi="ar-SA"/>
        </w:rPr>
        <w:t>国新国证鑫泰三个月定期开放债券型证券投资基金（以下简称“本基金”）经</w:t>
      </w:r>
      <w:r>
        <w:rPr>
          <w:rFonts w:ascii="Times New Roman" w:hAnsi="Times New Roman" w:cs="Times New Roman"/>
          <w:bCs/>
          <w:kern w:val="2"/>
          <w:sz w:val="24"/>
          <w:szCs w:val="20"/>
          <w:lang w:eastAsia="zh-CN" w:bidi="ar-SA"/>
        </w:rPr>
        <w:t>中国证券监督管理委员会</w:t>
      </w:r>
      <w:r>
        <w:rPr>
          <w:rFonts w:hint="eastAsia" w:ascii="Times New Roman" w:hAnsi="Times New Roman" w:cs="Times New Roman"/>
          <w:bCs/>
          <w:kern w:val="2"/>
          <w:sz w:val="24"/>
          <w:szCs w:val="20"/>
          <w:lang w:eastAsia="zh-CN" w:bidi="ar-SA"/>
        </w:rPr>
        <w:t>（以下简称“中国证监会”）</w:t>
      </w:r>
      <w:r>
        <w:rPr>
          <w:rFonts w:ascii="Times New Roman" w:hAnsi="Times New Roman" w:cs="Times New Roman"/>
          <w:bCs/>
          <w:kern w:val="2"/>
          <w:sz w:val="24"/>
          <w:szCs w:val="20"/>
          <w:lang w:eastAsia="zh-CN" w:bidi="ar-SA"/>
        </w:rPr>
        <w:t>202</w:t>
      </w:r>
      <w:r>
        <w:rPr>
          <w:rFonts w:hint="eastAsia" w:ascii="Times New Roman" w:hAnsi="Times New Roman" w:cs="Times New Roman"/>
          <w:bCs/>
          <w:kern w:val="2"/>
          <w:sz w:val="24"/>
          <w:szCs w:val="20"/>
          <w:lang w:val="en-US" w:eastAsia="zh-CN" w:bidi="ar-SA"/>
        </w:rPr>
        <w:t>3</w:t>
      </w:r>
      <w:r>
        <w:rPr>
          <w:rFonts w:ascii="Times New Roman" w:hAnsi="Times New Roman" w:cs="Times New Roman"/>
          <w:bCs/>
          <w:kern w:val="2"/>
          <w:sz w:val="24"/>
          <w:szCs w:val="20"/>
          <w:lang w:eastAsia="zh-CN" w:bidi="ar-SA"/>
        </w:rPr>
        <w:t>年</w:t>
      </w:r>
      <w:r>
        <w:rPr>
          <w:rFonts w:hint="eastAsia" w:ascii="Times New Roman" w:hAnsi="Times New Roman" w:cs="Times New Roman"/>
          <w:bCs/>
          <w:kern w:val="2"/>
          <w:sz w:val="24"/>
          <w:szCs w:val="20"/>
          <w:lang w:val="en-US" w:eastAsia="zh-CN" w:bidi="ar-SA"/>
        </w:rPr>
        <w:t>2</w:t>
      </w:r>
      <w:r>
        <w:rPr>
          <w:rFonts w:hint="eastAsia" w:ascii="Times New Roman" w:hAnsi="Times New Roman" w:cs="Times New Roman"/>
          <w:bCs/>
          <w:kern w:val="2"/>
          <w:sz w:val="24"/>
          <w:szCs w:val="20"/>
          <w:lang w:eastAsia="zh-CN" w:bidi="ar-SA"/>
        </w:rPr>
        <w:t>月</w:t>
      </w:r>
      <w:r>
        <w:rPr>
          <w:rFonts w:hint="eastAsia" w:ascii="Times New Roman" w:hAnsi="Times New Roman" w:cs="Times New Roman"/>
          <w:bCs/>
          <w:kern w:val="2"/>
          <w:sz w:val="24"/>
          <w:szCs w:val="20"/>
          <w:lang w:val="en-US" w:eastAsia="zh-CN" w:bidi="ar-SA"/>
        </w:rPr>
        <w:t>23</w:t>
      </w:r>
      <w:r>
        <w:rPr>
          <w:rFonts w:hint="eastAsia" w:ascii="Times New Roman" w:hAnsi="Times New Roman" w:cs="Times New Roman"/>
          <w:bCs/>
          <w:kern w:val="2"/>
          <w:sz w:val="24"/>
          <w:szCs w:val="20"/>
          <w:lang w:eastAsia="zh-CN" w:bidi="ar-SA"/>
        </w:rPr>
        <w:t>日</w:t>
      </w:r>
      <w:r>
        <w:rPr>
          <w:rFonts w:ascii="Times New Roman" w:hAnsi="Times New Roman" w:cs="Times New Roman"/>
          <w:bCs/>
          <w:kern w:val="2"/>
          <w:sz w:val="24"/>
          <w:szCs w:val="20"/>
          <w:lang w:eastAsia="zh-CN" w:bidi="ar-SA"/>
        </w:rPr>
        <w:t>《关于准予</w:t>
      </w:r>
      <w:r>
        <w:rPr>
          <w:rFonts w:hint="eastAsia" w:ascii="Times New Roman" w:hAnsi="Times New Roman" w:cs="Times New Roman"/>
          <w:bCs/>
          <w:kern w:val="2"/>
          <w:sz w:val="24"/>
          <w:szCs w:val="20"/>
          <w:lang w:eastAsia="zh-CN" w:bidi="ar-SA"/>
        </w:rPr>
        <w:t>国新国证鑫泰三个月定期开放债券型证券投资基金</w:t>
      </w:r>
      <w:r>
        <w:rPr>
          <w:rFonts w:ascii="Times New Roman" w:hAnsi="Times New Roman" w:cs="Times New Roman"/>
          <w:bCs/>
          <w:kern w:val="2"/>
          <w:sz w:val="24"/>
          <w:szCs w:val="20"/>
          <w:lang w:eastAsia="zh-CN" w:bidi="ar-SA"/>
        </w:rPr>
        <w:t>注册的批复》（</w:t>
      </w:r>
      <w:r>
        <w:rPr>
          <w:rFonts w:hint="eastAsia" w:ascii="Times New Roman" w:hAnsi="Times New Roman" w:cs="Times New Roman"/>
          <w:bCs/>
          <w:kern w:val="2"/>
          <w:sz w:val="24"/>
          <w:szCs w:val="20"/>
          <w:lang w:eastAsia="zh-CN" w:bidi="ar-SA"/>
        </w:rPr>
        <w:t>证监许可</w:t>
      </w:r>
      <w:r>
        <w:rPr>
          <w:rFonts w:ascii="Times New Roman" w:hAnsi="Times New Roman" w:cs="Times New Roman"/>
          <w:bCs/>
          <w:kern w:val="2"/>
          <w:sz w:val="24"/>
          <w:szCs w:val="20"/>
          <w:lang w:eastAsia="zh-CN" w:bidi="ar-SA"/>
        </w:rPr>
        <w:t>[202</w:t>
      </w:r>
      <w:r>
        <w:rPr>
          <w:rFonts w:hint="eastAsia" w:ascii="Times New Roman" w:hAnsi="Times New Roman" w:cs="Times New Roman"/>
          <w:bCs/>
          <w:kern w:val="2"/>
          <w:sz w:val="24"/>
          <w:szCs w:val="20"/>
          <w:lang w:val="en-US" w:eastAsia="zh-CN" w:bidi="ar-SA"/>
        </w:rPr>
        <w:t>3</w:t>
      </w:r>
      <w:r>
        <w:rPr>
          <w:rFonts w:ascii="Times New Roman" w:hAnsi="Times New Roman" w:cs="Times New Roman"/>
          <w:bCs/>
          <w:kern w:val="2"/>
          <w:sz w:val="24"/>
          <w:szCs w:val="20"/>
          <w:lang w:eastAsia="zh-CN" w:bidi="ar-SA"/>
        </w:rPr>
        <w:t>]</w:t>
      </w:r>
      <w:r>
        <w:rPr>
          <w:rFonts w:hint="eastAsia" w:ascii="Times New Roman" w:hAnsi="Times New Roman" w:cs="Times New Roman"/>
          <w:bCs/>
          <w:kern w:val="2"/>
          <w:sz w:val="24"/>
          <w:szCs w:val="20"/>
          <w:lang w:val="en-US" w:eastAsia="zh-CN" w:bidi="ar-SA"/>
        </w:rPr>
        <w:t>386</w:t>
      </w:r>
      <w:r>
        <w:rPr>
          <w:rFonts w:hint="eastAsia" w:ascii="Times New Roman" w:hAnsi="Times New Roman" w:cs="Times New Roman"/>
          <w:bCs/>
          <w:kern w:val="2"/>
          <w:sz w:val="24"/>
          <w:szCs w:val="20"/>
          <w:lang w:eastAsia="zh-CN" w:bidi="ar-SA"/>
        </w:rPr>
        <w:t>号</w:t>
      </w:r>
      <w:r>
        <w:rPr>
          <w:rFonts w:ascii="Times New Roman" w:hAnsi="Times New Roman" w:cs="Times New Roman"/>
          <w:bCs/>
          <w:kern w:val="2"/>
          <w:sz w:val="24"/>
          <w:szCs w:val="20"/>
          <w:lang w:eastAsia="zh-CN" w:bidi="ar-SA"/>
        </w:rPr>
        <w:t>）</w:t>
      </w:r>
      <w:r>
        <w:rPr>
          <w:rFonts w:hint="eastAsia" w:ascii="Times New Roman" w:hAnsi="Times New Roman" w:cs="Times New Roman"/>
          <w:bCs/>
          <w:kern w:val="2"/>
          <w:sz w:val="24"/>
          <w:szCs w:val="20"/>
          <w:lang w:eastAsia="zh-CN" w:bidi="ar-SA"/>
        </w:rPr>
        <w:t>准予募集注册。</w:t>
      </w:r>
    </w:p>
    <w:p w14:paraId="51ED0D86">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hint="eastAsia" w:ascii="Times New Roman" w:hAnsi="Times New Roman" w:cs="Times New Roman"/>
          <w:bCs/>
          <w:kern w:val="2"/>
          <w:sz w:val="24"/>
          <w:szCs w:val="20"/>
          <w:lang w:eastAsia="zh-CN" w:bidi="ar-SA"/>
        </w:rPr>
        <w:t>国新国证基金管理有限公司（</w:t>
      </w:r>
      <w:r>
        <w:rPr>
          <w:rFonts w:hint="eastAsia" w:ascii="Times New Roman" w:hAnsi="Times New Roman" w:cs="Times New Roman"/>
          <w:bCs/>
          <w:kern w:val="2"/>
          <w:sz w:val="24"/>
          <w:szCs w:val="20"/>
          <w:lang w:val="en-US" w:eastAsia="zh-CN" w:bidi="ar-SA"/>
        </w:rPr>
        <w:t>原华融基金管理有限公司，</w:t>
      </w:r>
      <w:r>
        <w:rPr>
          <w:rFonts w:hint="eastAsia" w:ascii="Times New Roman" w:hAnsi="Times New Roman" w:cs="Times New Roman"/>
          <w:bCs/>
          <w:kern w:val="2"/>
          <w:sz w:val="24"/>
          <w:szCs w:val="20"/>
          <w:lang w:eastAsia="zh-CN" w:bidi="ar-SA"/>
        </w:rPr>
        <w:t>以下简称“基金管理人”或“本基金管理人”）</w:t>
      </w:r>
      <w:r>
        <w:rPr>
          <w:rFonts w:ascii="Times New Roman" w:hAnsi="Times New Roman" w:cs="Times New Roman"/>
          <w:bCs/>
          <w:kern w:val="2"/>
          <w:sz w:val="24"/>
          <w:szCs w:val="20"/>
          <w:lang w:eastAsia="zh-CN" w:bidi="ar-SA"/>
        </w:rPr>
        <w:t>保证《</w:t>
      </w:r>
      <w:r>
        <w:rPr>
          <w:rFonts w:hint="eastAsia" w:ascii="Times New Roman" w:hAnsi="Times New Roman" w:cs="Times New Roman"/>
          <w:bCs/>
          <w:kern w:val="2"/>
          <w:sz w:val="24"/>
          <w:szCs w:val="20"/>
          <w:lang w:eastAsia="zh-CN" w:bidi="ar-SA"/>
        </w:rPr>
        <w:t>国新国证鑫泰三个月定期开放债券型证券投资基金</w:t>
      </w:r>
      <w:r>
        <w:rPr>
          <w:rFonts w:ascii="Times New Roman" w:hAnsi="Times New Roman" w:cs="Times New Roman"/>
          <w:bCs/>
          <w:kern w:val="2"/>
          <w:sz w:val="24"/>
          <w:szCs w:val="20"/>
          <w:lang w:eastAsia="zh-CN" w:bidi="ar-SA"/>
        </w:rPr>
        <w:t>招募说明书》</w:t>
      </w:r>
      <w:r>
        <w:rPr>
          <w:rFonts w:hint="eastAsia" w:ascii="Times New Roman" w:hAnsi="Times New Roman" w:cs="Times New Roman"/>
          <w:bCs/>
          <w:kern w:val="2"/>
          <w:sz w:val="24"/>
          <w:szCs w:val="20"/>
          <w:lang w:eastAsia="zh-CN" w:bidi="ar-SA"/>
        </w:rPr>
        <w:t>（以下简称“招募说明书”或“本招募说明书”）</w:t>
      </w:r>
      <w:r>
        <w:rPr>
          <w:rFonts w:ascii="Times New Roman" w:hAnsi="Times New Roman" w:cs="Times New Roman"/>
          <w:bCs/>
          <w:kern w:val="2"/>
          <w:sz w:val="24"/>
          <w:szCs w:val="20"/>
          <w:lang w:eastAsia="zh-CN" w:bidi="ar-SA"/>
        </w:rPr>
        <w:t>的内容真实、准确、完整。本</w:t>
      </w:r>
      <w:r>
        <w:rPr>
          <w:rFonts w:hint="eastAsia" w:ascii="Times New Roman" w:hAnsi="Times New Roman" w:cs="Times New Roman"/>
          <w:bCs/>
          <w:kern w:val="2"/>
          <w:sz w:val="24"/>
          <w:szCs w:val="20"/>
          <w:lang w:eastAsia="zh-CN" w:bidi="ar-SA"/>
        </w:rPr>
        <w:t>招募说明书</w:t>
      </w:r>
      <w:r>
        <w:rPr>
          <w:rFonts w:ascii="Times New Roman" w:hAnsi="Times New Roman" w:cs="Times New Roman"/>
          <w:bCs/>
          <w:kern w:val="2"/>
          <w:sz w:val="24"/>
          <w:szCs w:val="20"/>
          <w:lang w:eastAsia="zh-CN" w:bidi="ar-SA"/>
        </w:rPr>
        <w:t>经中国证监会注册，但中国证监会对本基金募集的注册，并不表明其对本基金的投资价值、市场前景和收益</w:t>
      </w:r>
      <w:r>
        <w:rPr>
          <w:rFonts w:hint="eastAsia" w:ascii="Times New Roman" w:hAnsi="Times New Roman" w:cs="Times New Roman"/>
          <w:bCs/>
          <w:kern w:val="2"/>
          <w:sz w:val="24"/>
          <w:szCs w:val="20"/>
          <w:lang w:eastAsia="zh-CN" w:bidi="ar-SA"/>
        </w:rPr>
        <w:t>做</w:t>
      </w:r>
      <w:r>
        <w:rPr>
          <w:rFonts w:ascii="Times New Roman" w:hAnsi="Times New Roman" w:cs="Times New Roman"/>
          <w:bCs/>
          <w:kern w:val="2"/>
          <w:sz w:val="24"/>
          <w:szCs w:val="20"/>
          <w:lang w:eastAsia="zh-CN" w:bidi="ar-SA"/>
        </w:rPr>
        <w:t>出实质性判断或保证，也不表明投资于本基金没有风险。</w:t>
      </w:r>
    </w:p>
    <w:p w14:paraId="2EC2A726">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hint="eastAsia" w:ascii="Times New Roman" w:hAnsi="Times New Roman" w:cs="Times New Roman"/>
          <w:bCs/>
          <w:kern w:val="2"/>
          <w:sz w:val="24"/>
          <w:szCs w:val="20"/>
          <w:lang w:eastAsia="zh-CN" w:bidi="ar-SA"/>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14:paraId="7FD917D2">
      <w:pPr>
        <w:autoSpaceDE/>
        <w:autoSpaceDN/>
        <w:spacing w:line="360" w:lineRule="auto"/>
        <w:ind w:firstLine="480" w:firstLineChars="200"/>
        <w:jc w:val="both"/>
        <w:rPr>
          <w:rFonts w:ascii="Times New Roman" w:hAnsi="Times New Roman" w:cs="Times New Roman"/>
          <w:bCs/>
          <w:kern w:val="2"/>
          <w:sz w:val="24"/>
          <w:szCs w:val="20"/>
          <w:lang w:eastAsia="zh-CN"/>
        </w:rPr>
      </w:pPr>
      <w:r>
        <w:rPr>
          <w:rFonts w:hint="eastAsia" w:ascii="Times New Roman" w:hAnsi="Times New Roman" w:cs="Times New Roman"/>
          <w:bCs/>
          <w:kern w:val="2"/>
          <w:sz w:val="24"/>
          <w:szCs w:val="20"/>
          <w:lang w:eastAsia="zh-CN" w:bidi="ar-SA"/>
        </w:rPr>
        <w:t>基金分为股票基金、混合基金、债券基金、货币市场基金等不同类型，投资者投资不同类型的基金将获得不同的收益预期，也将承担不同程度的风险。一般来说，基金的收益预期越高，投资者承担的风险也越大。</w:t>
      </w:r>
      <w:r>
        <w:rPr>
          <w:rFonts w:hint="eastAsia" w:ascii="Times New Roman" w:hAnsi="Times New Roman" w:cs="Times New Roman"/>
          <w:bCs/>
          <w:kern w:val="2"/>
          <w:sz w:val="24"/>
          <w:szCs w:val="20"/>
          <w:lang w:eastAsia="zh-CN"/>
        </w:rPr>
        <w:t>本基金为债券型基金，预期收益和预期风险高于货币市场基金，但低于混合型基金、股票型基金。</w:t>
      </w:r>
    </w:p>
    <w:p w14:paraId="24B651CD">
      <w:pPr>
        <w:autoSpaceDE/>
        <w:autoSpaceDN/>
        <w:spacing w:line="360" w:lineRule="auto"/>
        <w:ind w:firstLine="480" w:firstLineChars="200"/>
        <w:jc w:val="both"/>
        <w:rPr>
          <w:rFonts w:ascii="Times New Roman" w:hAnsi="Times New Roman" w:cs="Times New Roman"/>
          <w:bCs/>
          <w:kern w:val="2"/>
          <w:sz w:val="24"/>
          <w:szCs w:val="20"/>
          <w:lang w:eastAsia="zh-CN"/>
        </w:rPr>
      </w:pPr>
      <w:r>
        <w:rPr>
          <w:rFonts w:ascii="Times New Roman" w:hAnsi="Times New Roman" w:cs="Times New Roman"/>
          <w:bCs/>
          <w:kern w:val="2"/>
          <w:sz w:val="24"/>
          <w:szCs w:val="20"/>
          <w:lang w:eastAsia="zh-CN" w:bidi="ar-SA"/>
        </w:rPr>
        <w:t>本基金投资于证券市场，基金净值会因为证券市场波动等因素产生波动。投资有风险，投资者在投资本基金前，</w:t>
      </w:r>
      <w:r>
        <w:rPr>
          <w:rFonts w:hint="eastAsia" w:ascii="Times New Roman" w:hAnsi="Times New Roman" w:cs="Times New Roman"/>
          <w:bCs/>
          <w:kern w:val="2"/>
          <w:sz w:val="24"/>
          <w:szCs w:val="20"/>
          <w:lang w:eastAsia="zh-CN" w:bidi="ar-SA"/>
        </w:rPr>
        <w:t>应</w:t>
      </w:r>
      <w:r>
        <w:rPr>
          <w:rFonts w:ascii="Times New Roman" w:hAnsi="Times New Roman" w:cs="Times New Roman"/>
          <w:bCs/>
          <w:kern w:val="2"/>
          <w:sz w:val="24"/>
          <w:szCs w:val="20"/>
          <w:lang w:eastAsia="zh-CN" w:bidi="ar-SA"/>
        </w:rPr>
        <w:t>认真阅读本基金的招募说明书</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基金合同</w:t>
      </w:r>
      <w:r>
        <w:rPr>
          <w:rFonts w:hint="eastAsia" w:ascii="Times New Roman" w:hAnsi="Times New Roman" w:cs="Times New Roman"/>
          <w:bCs/>
          <w:kern w:val="2"/>
          <w:sz w:val="24"/>
          <w:szCs w:val="20"/>
          <w:lang w:eastAsia="zh-CN" w:bidi="ar-SA"/>
        </w:rPr>
        <w:t>、基金产品资料概要</w:t>
      </w:r>
      <w:r>
        <w:rPr>
          <w:rFonts w:ascii="Times New Roman" w:hAnsi="Times New Roman" w:cs="Times New Roman"/>
          <w:bCs/>
          <w:kern w:val="2"/>
          <w:sz w:val="24"/>
          <w:szCs w:val="20"/>
          <w:lang w:eastAsia="zh-CN" w:bidi="ar-SA"/>
        </w:rPr>
        <w:t>等信息披露文件，全面认识本基金产品的风险收益特征和产品特性，充分考虑自身的风险承受能力，理性判断市场，自主判断基金的投资价值，对认购（或申购）基金的意愿、时机、数量等投资行为作出独立决策，承担基金投资中出现的各类风险。</w:t>
      </w:r>
      <w:r>
        <w:rPr>
          <w:rStyle w:val="46"/>
          <w:rFonts w:hint="default"/>
          <w:lang w:eastAsia="zh-CN"/>
        </w:rPr>
        <w:t>投资本基金可能遇到的风险包括：证券市场整体环境引发的系统性风险，个别证券特有的非系统性风险，大量赎回或暴跌导致的流动性风险，基金投资过程中产生的操作风险，因交收违约引发的信用风险，等等。</w:t>
      </w:r>
    </w:p>
    <w:p w14:paraId="17BA4C16">
      <w:pPr>
        <w:autoSpaceDE/>
        <w:autoSpaceDN/>
        <w:spacing w:line="360" w:lineRule="auto"/>
        <w:ind w:firstLine="480" w:firstLineChars="200"/>
        <w:jc w:val="both"/>
        <w:rPr>
          <w:rFonts w:ascii="Times New Roman" w:hAnsi="Times New Roman" w:cs="Times New Roman"/>
          <w:bCs/>
          <w:kern w:val="2"/>
          <w:sz w:val="24"/>
          <w:szCs w:val="20"/>
          <w:lang w:eastAsia="zh-CN"/>
        </w:rPr>
      </w:pPr>
      <w:r>
        <w:rPr>
          <w:rFonts w:ascii="Times New Roman" w:hAnsi="Times New Roman" w:cs="Times New Roman"/>
          <w:bCs/>
          <w:kern w:val="2"/>
          <w:sz w:val="24"/>
          <w:szCs w:val="20"/>
          <w:lang w:eastAsia="zh-CN" w:bidi="ar-SA"/>
        </w:rPr>
        <w:t>本基金</w:t>
      </w:r>
      <w:r>
        <w:rPr>
          <w:rFonts w:hint="eastAsia" w:ascii="Times New Roman" w:hAnsi="Times New Roman" w:cs="Times New Roman"/>
          <w:bCs/>
          <w:kern w:val="2"/>
          <w:sz w:val="24"/>
          <w:szCs w:val="20"/>
          <w:lang w:eastAsia="zh-CN" w:bidi="ar-SA"/>
        </w:rPr>
        <w:t>产品风险等级定期评估并在基金管理人网站发布，请投资者关注。</w:t>
      </w:r>
      <w:r>
        <w:rPr>
          <w:rFonts w:ascii="Times New Roman" w:hAnsi="Times New Roman" w:cs="Times New Roman"/>
          <w:bCs/>
          <w:kern w:val="2"/>
          <w:sz w:val="24"/>
          <w:szCs w:val="20"/>
          <w:lang w:eastAsia="zh-CN" w:bidi="ar-SA"/>
        </w:rPr>
        <w:t>本基金的一般风险</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特有风险和其他风险详见本招募说明书的“风险揭示”部分。</w:t>
      </w:r>
    </w:p>
    <w:p w14:paraId="4D17C136">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hint="eastAsia" w:ascii="Times New Roman" w:hAnsi="Times New Roman" w:cs="Times New Roman"/>
          <w:bCs/>
          <w:kern w:val="2"/>
          <w:sz w:val="24"/>
          <w:szCs w:val="20"/>
          <w:lang w:eastAsia="zh-CN" w:bidi="ar-SA"/>
        </w:rPr>
        <w:t>投资者应当认真阅读基金合同、招募说明书、基金产品资料概要等基金法律文件，了解基金的风险收益特征，并根据自身的投资目的、投资期限、投资经验、资产状况等自主判断基金是否和投资者的风险承受能力相适应，并自主做出投资决策，自行承担投资风险。</w:t>
      </w:r>
    </w:p>
    <w:p w14:paraId="16190B46">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ascii="Times New Roman" w:hAnsi="Times New Roman" w:cs="Times New Roman"/>
          <w:bCs/>
          <w:kern w:val="2"/>
          <w:sz w:val="24"/>
          <w:szCs w:val="20"/>
          <w:lang w:eastAsia="zh-CN" w:bidi="ar-SA"/>
        </w:rPr>
        <w:t>基金管理人承诺依照恪尽职守、诚实信用、谨慎勤勉的原则管理和运用基金资产，但不保证本基金一定盈利，也不保证最低收益。本基金的过往业绩及其净值高低并不预示其未来业绩表现，基金管理人管理的其他基金的业绩也不构成对本基金业绩表现的保证。基金管理人提醒投资者注意基金投资的</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买者自负</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原则，在做出投资决策后，基金运营状况与基金净值变化引致的投资风险，由投资者自行负担。</w:t>
      </w:r>
    </w:p>
    <w:p w14:paraId="033FA4C8">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hint="eastAsia" w:ascii="Times New Roman" w:hAnsi="Times New Roman" w:cs="Times New Roman"/>
          <w:bCs/>
          <w:kern w:val="2"/>
          <w:sz w:val="24"/>
          <w:szCs w:val="20"/>
          <w:lang w:eastAsia="zh-CN" w:bidi="ar-SA"/>
        </w:rPr>
        <w:t>投资者应当通过基金管理人或具有基金销售业务资格的其他机构认</w:t>
      </w:r>
      <w:r>
        <w:rPr>
          <w:rFonts w:ascii="Times New Roman" w:hAnsi="Times New Roman" w:cs="Times New Roman"/>
          <w:bCs/>
          <w:kern w:val="2"/>
          <w:sz w:val="24"/>
          <w:szCs w:val="20"/>
          <w:lang w:eastAsia="zh-CN" w:bidi="ar-SA"/>
        </w:rPr>
        <w:t>/</w:t>
      </w:r>
      <w:r>
        <w:rPr>
          <w:rFonts w:hint="eastAsia" w:ascii="Times New Roman" w:hAnsi="Times New Roman" w:cs="Times New Roman"/>
          <w:bCs/>
          <w:kern w:val="2"/>
          <w:sz w:val="24"/>
          <w:szCs w:val="20"/>
          <w:lang w:eastAsia="zh-CN" w:bidi="ar-SA"/>
        </w:rPr>
        <w:t>申购和赎回基金，基金销售机构名单详见本招募说明书、相关公告或基金管理人网站。</w:t>
      </w:r>
    </w:p>
    <w:p w14:paraId="22BE2822">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hint="eastAsia" w:ascii="Times New Roman" w:hAnsi="Times New Roman" w:cs="Times New Roman"/>
          <w:bCs/>
          <w:kern w:val="2"/>
          <w:sz w:val="24"/>
          <w:szCs w:val="20"/>
          <w:lang w:eastAsia="zh-CN" w:bidi="ar-SA"/>
        </w:rPr>
        <w:t>当本基金持有特定资产且存在或潜在大额赎回申请时，基金管理人履行相应程序后，可以依照法律法规及基金合同的约定启用侧袋机制。侧袋机制实施期间，基金管理人将对基金简称进行特殊标识，并不办理侧袋账户的申购赎回等业务。请基金份额持有人仔细阅读相关内容并关注本基金启用侧袋机制时的特定风险，详见招募说明书“侧袋机制”和“风险揭示”部分。</w:t>
      </w:r>
    </w:p>
    <w:p w14:paraId="0A4BAD58">
      <w:pPr>
        <w:autoSpaceDE/>
        <w:autoSpaceDN/>
        <w:spacing w:line="360" w:lineRule="auto"/>
        <w:ind w:firstLine="480" w:firstLineChars="200"/>
        <w:jc w:val="both"/>
        <w:rPr>
          <w:rFonts w:hint="eastAsia" w:ascii="Times New Roman" w:hAnsi="Times New Roman" w:cs="Times New Roman"/>
          <w:bCs/>
          <w:kern w:val="2"/>
          <w:sz w:val="24"/>
          <w:szCs w:val="20"/>
          <w:lang w:eastAsia="zh-CN" w:bidi="ar-SA"/>
        </w:rPr>
      </w:pPr>
      <w:r>
        <w:rPr>
          <w:rFonts w:hint="eastAsia" w:ascii="Times New Roman" w:hAnsi="Times New Roman" w:cs="Times New Roman"/>
          <w:bCs/>
          <w:kern w:val="2"/>
          <w:sz w:val="24"/>
          <w:szCs w:val="20"/>
          <w:lang w:eastAsia="zh-CN" w:bidi="ar-SA"/>
        </w:rPr>
        <w:t>本基金单一投资者持有基金份额数不得达到或超过基金份额总数的</w:t>
      </w:r>
      <w:r>
        <w:rPr>
          <w:rFonts w:ascii="Times New Roman" w:hAnsi="Times New Roman" w:cs="Times New Roman"/>
          <w:bCs/>
          <w:kern w:val="2"/>
          <w:sz w:val="24"/>
          <w:szCs w:val="20"/>
          <w:lang w:eastAsia="zh-CN" w:bidi="ar-SA"/>
        </w:rPr>
        <w:t>50%</w:t>
      </w:r>
      <w:r>
        <w:rPr>
          <w:rFonts w:hint="eastAsia" w:ascii="Times New Roman" w:hAnsi="Times New Roman" w:cs="Times New Roman"/>
          <w:bCs/>
          <w:kern w:val="2"/>
          <w:sz w:val="24"/>
          <w:szCs w:val="20"/>
          <w:lang w:eastAsia="zh-CN" w:bidi="ar-SA"/>
        </w:rPr>
        <w:t>，但在基金运作过程中因基金份额赎回等情形导致被动达到或超过</w:t>
      </w:r>
      <w:r>
        <w:rPr>
          <w:rFonts w:ascii="Times New Roman" w:hAnsi="Times New Roman" w:cs="Times New Roman"/>
          <w:bCs/>
          <w:kern w:val="2"/>
          <w:sz w:val="24"/>
          <w:szCs w:val="20"/>
          <w:lang w:eastAsia="zh-CN" w:bidi="ar-SA"/>
        </w:rPr>
        <w:t>50%</w:t>
      </w:r>
      <w:r>
        <w:rPr>
          <w:rFonts w:hint="eastAsia" w:ascii="Times New Roman" w:hAnsi="Times New Roman" w:cs="Times New Roman"/>
          <w:bCs/>
          <w:kern w:val="2"/>
          <w:sz w:val="24"/>
          <w:szCs w:val="20"/>
          <w:lang w:eastAsia="zh-CN" w:bidi="ar-SA"/>
        </w:rPr>
        <w:t>的除外</w:t>
      </w:r>
      <w:r>
        <w:rPr>
          <w:rFonts w:ascii="Times New Roman" w:hAnsi="Times New Roman" w:cs="Times New Roman"/>
          <w:bCs/>
          <w:kern w:val="2"/>
          <w:sz w:val="24"/>
          <w:szCs w:val="20"/>
          <w:lang w:eastAsia="zh-CN"/>
        </w:rPr>
        <w:t>。</w:t>
      </w:r>
      <w:r>
        <w:rPr>
          <w:rFonts w:hint="eastAsia" w:ascii="Times New Roman" w:hAnsi="Times New Roman" w:cs="Times New Roman"/>
          <w:bCs/>
          <w:kern w:val="2"/>
          <w:sz w:val="24"/>
          <w:szCs w:val="20"/>
          <w:lang w:eastAsia="zh-CN" w:bidi="ar-SA"/>
        </w:rPr>
        <w:t>法律法规、监管机构另有规定的，从其规定。</w:t>
      </w:r>
    </w:p>
    <w:p w14:paraId="4CDAD0D3">
      <w:pPr>
        <w:autoSpaceDE/>
        <w:autoSpaceDN/>
        <w:spacing w:line="360" w:lineRule="auto"/>
        <w:ind w:firstLine="480" w:firstLineChars="200"/>
        <w:jc w:val="both"/>
        <w:rPr>
          <w:rFonts w:hint="eastAsia" w:ascii="Times New Roman" w:hAnsi="Times New Roman" w:cs="Times New Roman"/>
          <w:bCs/>
          <w:kern w:val="2"/>
          <w:sz w:val="24"/>
          <w:szCs w:val="20"/>
          <w:highlight w:val="none"/>
          <w:lang w:eastAsia="zh-CN" w:bidi="ar-SA"/>
        </w:rPr>
      </w:pPr>
      <w:r>
        <w:rPr>
          <w:rFonts w:hint="eastAsia" w:ascii="Times New Roman" w:hAnsi="Times New Roman" w:cs="Times New Roman"/>
          <w:bCs/>
          <w:kern w:val="2"/>
          <w:sz w:val="24"/>
          <w:szCs w:val="20"/>
          <w:highlight w:val="none"/>
          <w:lang w:val="en-US" w:eastAsia="zh-CN" w:bidi="ar-SA"/>
        </w:rPr>
        <w:t xml:space="preserve"> 本次招募说明书更新“高级管理人员”、“基金经理”信息， 更新内容截止日为 2026年10月8日，有关财务数据和净值表现截止日为2026年3月31日（未经审计）。</w:t>
      </w:r>
    </w:p>
    <w:p w14:paraId="49073053">
      <w:pPr>
        <w:spacing w:line="295" w:lineRule="auto"/>
        <w:rPr>
          <w:lang w:eastAsia="zh-CN"/>
        </w:rPr>
      </w:pPr>
    </w:p>
    <w:p w14:paraId="2796AD0E">
      <w:pPr>
        <w:spacing w:line="295" w:lineRule="auto"/>
        <w:rPr>
          <w:lang w:eastAsia="zh-CN"/>
        </w:rPr>
        <w:sectPr>
          <w:headerReference r:id="rId5" w:type="default"/>
          <w:footerReference r:id="rId6" w:type="default"/>
          <w:pgSz w:w="11910" w:h="16840"/>
          <w:pgMar w:top="1440" w:right="1800" w:bottom="1440" w:left="1800" w:header="850" w:footer="991" w:gutter="0"/>
          <w:cols w:space="720" w:num="1"/>
          <w:titlePg/>
          <w:docGrid w:linePitch="299" w:charSpace="0"/>
        </w:sectPr>
      </w:pPr>
    </w:p>
    <w:p w14:paraId="1DA6688D">
      <w:pPr>
        <w:pStyle w:val="2"/>
        <w:keepNext/>
        <w:keepLines/>
        <w:autoSpaceDE/>
        <w:autoSpaceDN/>
        <w:spacing w:before="0" w:line="360" w:lineRule="auto"/>
        <w:ind w:left="0"/>
        <w:jc w:val="center"/>
        <w:rPr>
          <w:rFonts w:ascii="黑体" w:hAnsi="黑体" w:eastAsia="黑体" w:cs="Times New Roman"/>
          <w:szCs w:val="20"/>
          <w:lang w:eastAsia="zh-CN" w:bidi="ar-SA"/>
        </w:rPr>
      </w:pPr>
      <w:bookmarkStart w:id="16" w:name="_Toc69831238"/>
      <w:r>
        <w:rPr>
          <w:rFonts w:ascii="黑体" w:hAnsi="黑体" w:eastAsia="黑体" w:cs="Times New Roman"/>
          <w:szCs w:val="20"/>
          <w:lang w:eastAsia="zh-CN" w:bidi="ar-SA"/>
        </w:rPr>
        <w:t>目</w:t>
      </w:r>
      <w:r>
        <w:rPr>
          <w:rFonts w:hint="eastAsia" w:ascii="黑体" w:hAnsi="黑体" w:eastAsia="黑体" w:cs="Times New Roman"/>
          <w:szCs w:val="20"/>
          <w:lang w:eastAsia="zh-CN" w:bidi="ar-SA"/>
        </w:rPr>
        <w:t xml:space="preserve">  </w:t>
      </w:r>
      <w:r>
        <w:rPr>
          <w:rFonts w:ascii="黑体" w:hAnsi="黑体" w:eastAsia="黑体" w:cs="Times New Roman"/>
          <w:szCs w:val="20"/>
          <w:lang w:eastAsia="zh-CN" w:bidi="ar-SA"/>
        </w:rPr>
        <w:t>录</w:t>
      </w:r>
      <w:bookmarkEnd w:id="16"/>
    </w:p>
    <w:p w14:paraId="04DF39A5">
      <w:pPr>
        <w:pStyle w:val="17"/>
        <w:tabs>
          <w:tab w:val="right" w:leader="dot" w:pos="8300"/>
        </w:tabs>
        <w:rPr>
          <w:rFonts w:eastAsiaTheme="minorEastAsia" w:cstheme="minorBidi"/>
          <w:b w:val="0"/>
          <w:bCs w:val="0"/>
          <w:caps w:val="0"/>
          <w:kern w:val="2"/>
          <w:sz w:val="21"/>
          <w:szCs w:val="22"/>
          <w:lang w:eastAsia="zh-CN" w:bidi="ar-SA"/>
        </w:rPr>
      </w:pPr>
      <w:r>
        <w:rPr>
          <w:rFonts w:ascii="宋体" w:hAnsi="宋体" w:cs="Times New Roman"/>
          <w:bCs w:val="0"/>
          <w:kern w:val="2"/>
          <w:sz w:val="24"/>
          <w:lang w:eastAsia="zh-CN" w:bidi="ar-SA"/>
        </w:rPr>
        <w:fldChar w:fldCharType="begin"/>
      </w:r>
      <w:r>
        <w:rPr>
          <w:rFonts w:ascii="宋体" w:hAnsi="宋体" w:cs="Times New Roman"/>
          <w:bCs w:val="0"/>
          <w:kern w:val="2"/>
          <w:sz w:val="24"/>
          <w:lang w:eastAsia="zh-CN" w:bidi="ar-SA"/>
        </w:rPr>
        <w:instrText xml:space="preserve"> TOC \o "1-3" \h \z \u </w:instrText>
      </w:r>
      <w:r>
        <w:rPr>
          <w:rFonts w:ascii="宋体" w:hAnsi="宋体" w:cs="Times New Roman"/>
          <w:bCs w:val="0"/>
          <w:kern w:val="2"/>
          <w:sz w:val="24"/>
          <w:lang w:eastAsia="zh-CN" w:bidi="ar-SA"/>
        </w:rPr>
        <w:fldChar w:fldCharType="separate"/>
      </w:r>
      <w:r>
        <w:fldChar w:fldCharType="begin"/>
      </w:r>
      <w:r>
        <w:instrText xml:space="preserve"> HYPERLINK \l "_Toc69831237" </w:instrText>
      </w:r>
      <w:r>
        <w:fldChar w:fldCharType="separate"/>
      </w:r>
      <w:r>
        <w:rPr>
          <w:rStyle w:val="27"/>
          <w:rFonts w:hint="eastAsia" w:ascii="Times New Roman" w:hAnsi="Times New Roman" w:cs="Times New Roman"/>
          <w:b w:val="0"/>
          <w:lang w:eastAsia="zh-CN"/>
        </w:rPr>
        <w:t>重要提示</w:t>
      </w:r>
      <w:r>
        <w:rPr>
          <w:b w:val="0"/>
        </w:rPr>
        <w:tab/>
      </w:r>
      <w:r>
        <w:rPr>
          <w:b w:val="0"/>
        </w:rPr>
        <w:fldChar w:fldCharType="begin"/>
      </w:r>
      <w:r>
        <w:rPr>
          <w:b w:val="0"/>
        </w:rPr>
        <w:instrText xml:space="preserve"> PAGEREF _Toc69831237 \h </w:instrText>
      </w:r>
      <w:r>
        <w:rPr>
          <w:b w:val="0"/>
        </w:rPr>
        <w:fldChar w:fldCharType="separate"/>
      </w:r>
      <w:r>
        <w:rPr>
          <w:b w:val="0"/>
        </w:rPr>
        <w:t>2</w:t>
      </w:r>
      <w:r>
        <w:rPr>
          <w:b w:val="0"/>
        </w:rPr>
        <w:fldChar w:fldCharType="end"/>
      </w:r>
      <w:r>
        <w:rPr>
          <w:b w:val="0"/>
        </w:rPr>
        <w:fldChar w:fldCharType="end"/>
      </w:r>
    </w:p>
    <w:p w14:paraId="50ECAF56">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"_Toc69831238" </w:instrText>
      </w:r>
      <w:r>
        <w:fldChar w:fldCharType="separate"/>
      </w:r>
      <w:r>
        <w:rPr>
          <w:rStyle w:val="27"/>
          <w:rFonts w:hint="eastAsia" w:ascii="Times New Roman" w:hAnsi="Times New Roman" w:cs="Times New Roman"/>
          <w:b w:val="0"/>
          <w:lang w:eastAsia="zh-CN"/>
        </w:rPr>
        <w:t>目</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录</w:t>
      </w:r>
      <w:r>
        <w:rPr>
          <w:b w:val="0"/>
        </w:rPr>
        <w:tab/>
      </w:r>
      <w:r>
        <w:rPr>
          <w:b w:val="0"/>
        </w:rPr>
        <w:fldChar w:fldCharType="begin"/>
      </w:r>
      <w:r>
        <w:rPr>
          <w:b w:val="0"/>
        </w:rPr>
        <w:instrText xml:space="preserve"> PAGEREF _Toc69831238 \h </w:instrText>
      </w:r>
      <w:r>
        <w:rPr>
          <w:b w:val="0"/>
        </w:rPr>
        <w:fldChar w:fldCharType="separate"/>
      </w:r>
      <w:r>
        <w:rPr>
          <w:b w:val="0"/>
        </w:rPr>
        <w:t>4</w:t>
      </w:r>
      <w:r>
        <w:rPr>
          <w:b w:val="0"/>
        </w:rPr>
        <w:fldChar w:fldCharType="end"/>
      </w:r>
      <w:r>
        <w:rPr>
          <w:b w:val="0"/>
        </w:rPr>
        <w:fldChar w:fldCharType="end"/>
      </w:r>
    </w:p>
    <w:p w14:paraId="4640D239">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"_Toc69831239" </w:instrText>
      </w:r>
      <w:r>
        <w:fldChar w:fldCharType="separate"/>
      </w:r>
      <w:r>
        <w:rPr>
          <w:rStyle w:val="27"/>
          <w:rFonts w:hint="eastAsia" w:ascii="Times New Roman" w:hAnsi="Times New Roman" w:cs="Times New Roman"/>
          <w:b w:val="0"/>
          <w:lang w:eastAsia="zh-CN"/>
        </w:rPr>
        <w:t>第一部分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绪言</w:t>
      </w:r>
      <w:r>
        <w:rPr>
          <w:b w:val="0"/>
        </w:rPr>
        <w:tab/>
      </w:r>
      <w:r>
        <w:rPr>
          <w:b w:val="0"/>
        </w:rPr>
        <w:fldChar w:fldCharType="begin"/>
      </w:r>
      <w:r>
        <w:rPr>
          <w:b w:val="0"/>
        </w:rPr>
        <w:instrText xml:space="preserve"> PAGEREF _Toc69831239 \h </w:instrText>
      </w:r>
      <w:r>
        <w:rPr>
          <w:b w:val="0"/>
        </w:rPr>
        <w:fldChar w:fldCharType="separate"/>
      </w:r>
      <w:r>
        <w:rPr>
          <w:b w:val="0"/>
        </w:rPr>
        <w:t>5</w:t>
      </w:r>
      <w:r>
        <w:rPr>
          <w:b w:val="0"/>
        </w:rPr>
        <w:fldChar w:fldCharType="end"/>
      </w:r>
      <w:r>
        <w:rPr>
          <w:b w:val="0"/>
        </w:rPr>
        <w:fldChar w:fldCharType="end"/>
      </w:r>
    </w:p>
    <w:p w14:paraId="0BD7BE4B">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"_Toc69831240" </w:instrText>
      </w:r>
      <w:r>
        <w:fldChar w:fldCharType="separate"/>
      </w:r>
      <w:r>
        <w:rPr>
          <w:rStyle w:val="27"/>
          <w:rFonts w:hint="eastAsia" w:ascii="Times New Roman" w:hAnsi="Times New Roman" w:cs="Times New Roman"/>
          <w:b w:val="0"/>
          <w:lang w:eastAsia="zh-CN"/>
        </w:rPr>
        <w:t>第二部分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释义</w:t>
      </w:r>
      <w:r>
        <w:rPr>
          <w:b w:val="0"/>
        </w:rPr>
        <w:tab/>
      </w:r>
      <w:r>
        <w:rPr>
          <w:b w:val="0"/>
        </w:rPr>
        <w:fldChar w:fldCharType="begin"/>
      </w:r>
      <w:r>
        <w:rPr>
          <w:b w:val="0"/>
        </w:rPr>
        <w:instrText xml:space="preserve"> PAGEREF _Toc69831240 \h </w:instrText>
      </w:r>
      <w:r>
        <w:rPr>
          <w:b w:val="0"/>
        </w:rPr>
        <w:fldChar w:fldCharType="separate"/>
      </w:r>
      <w:r>
        <w:rPr>
          <w:b w:val="0"/>
        </w:rPr>
        <w:t>6</w:t>
      </w:r>
      <w:r>
        <w:rPr>
          <w:b w:val="0"/>
        </w:rPr>
        <w:fldChar w:fldCharType="end"/>
      </w:r>
      <w:r>
        <w:rPr>
          <w:b w:val="0"/>
        </w:rPr>
        <w:fldChar w:fldCharType="end"/>
      </w:r>
    </w:p>
    <w:p w14:paraId="6A0E2E46">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"_Toc69831241" </w:instrText>
      </w:r>
      <w:r>
        <w:fldChar w:fldCharType="separate"/>
      </w:r>
      <w:r>
        <w:rPr>
          <w:rStyle w:val="27"/>
          <w:rFonts w:hint="eastAsia" w:ascii="Times New Roman" w:hAnsi="Times New Roman" w:cs="Times New Roman"/>
          <w:b w:val="0"/>
          <w:lang w:eastAsia="zh-CN"/>
        </w:rPr>
        <w:t>第三部分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基金管理人</w:t>
      </w:r>
      <w:r>
        <w:rPr>
          <w:b w:val="0"/>
        </w:rPr>
        <w:tab/>
      </w:r>
      <w:r>
        <w:rPr>
          <w:b w:val="0"/>
        </w:rPr>
        <w:fldChar w:fldCharType="begin"/>
      </w:r>
      <w:r>
        <w:rPr>
          <w:b w:val="0"/>
        </w:rPr>
        <w:instrText xml:space="preserve"> PAGEREF _Toc69831241 \h </w:instrText>
      </w:r>
      <w:r>
        <w:rPr>
          <w:b w:val="0"/>
        </w:rPr>
        <w:fldChar w:fldCharType="separate"/>
      </w:r>
      <w:r>
        <w:rPr>
          <w:b w:val="0"/>
        </w:rPr>
        <w:t>12</w:t>
      </w:r>
      <w:r>
        <w:rPr>
          <w:b w:val="0"/>
        </w:rPr>
        <w:fldChar w:fldCharType="end"/>
      </w:r>
      <w:r>
        <w:rPr>
          <w:b w:val="0"/>
        </w:rPr>
        <w:fldChar w:fldCharType="end"/>
      </w:r>
    </w:p>
    <w:p w14:paraId="01D51878">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"_Toc69831242" </w:instrText>
      </w:r>
      <w:r>
        <w:fldChar w:fldCharType="separate"/>
      </w:r>
      <w:r>
        <w:rPr>
          <w:rStyle w:val="27"/>
          <w:rFonts w:hint="eastAsia" w:ascii="Times New Roman" w:hAnsi="Times New Roman" w:cs="Times New Roman"/>
          <w:b w:val="0"/>
          <w:lang w:eastAsia="zh-CN"/>
        </w:rPr>
        <w:t>第四部分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基金托管人</w:t>
      </w:r>
      <w:r>
        <w:rPr>
          <w:b w:val="0"/>
        </w:rPr>
        <w:tab/>
      </w:r>
      <w:r>
        <w:rPr>
          <w:b w:val="0"/>
        </w:rPr>
        <w:fldChar w:fldCharType="begin"/>
      </w:r>
      <w:r>
        <w:rPr>
          <w:b w:val="0"/>
        </w:rPr>
        <w:instrText xml:space="preserve"> PAGEREF _Toc69831242 \h </w:instrText>
      </w:r>
      <w:r>
        <w:rPr>
          <w:b w:val="0"/>
        </w:rPr>
        <w:fldChar w:fldCharType="separate"/>
      </w:r>
      <w:r>
        <w:rPr>
          <w:b w:val="0"/>
        </w:rPr>
        <w:t>21</w:t>
      </w:r>
      <w:r>
        <w:rPr>
          <w:b w:val="0"/>
        </w:rPr>
        <w:fldChar w:fldCharType="end"/>
      </w:r>
      <w:r>
        <w:rPr>
          <w:b w:val="0"/>
        </w:rPr>
        <w:fldChar w:fldCharType="end"/>
      </w:r>
    </w:p>
    <w:p w14:paraId="3ED580A0">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"_Toc69831243" </w:instrText>
      </w:r>
      <w:r>
        <w:fldChar w:fldCharType="separate"/>
      </w:r>
      <w:r>
        <w:rPr>
          <w:rStyle w:val="27"/>
          <w:rFonts w:hint="eastAsia" w:ascii="Times New Roman" w:hAnsi="Times New Roman" w:cs="Times New Roman"/>
          <w:b w:val="0"/>
          <w:lang w:eastAsia="zh-CN"/>
        </w:rPr>
        <w:t>第五部分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相关服务机构</w:t>
      </w:r>
      <w:r>
        <w:rPr>
          <w:b w:val="0"/>
        </w:rPr>
        <w:tab/>
      </w:r>
      <w:r>
        <w:rPr>
          <w:b w:val="0"/>
        </w:rPr>
        <w:fldChar w:fldCharType="begin"/>
      </w:r>
      <w:r>
        <w:rPr>
          <w:b w:val="0"/>
        </w:rPr>
        <w:instrText xml:space="preserve"> PAGEREF _Toc69831243 \h </w:instrText>
      </w:r>
      <w:r>
        <w:rPr>
          <w:b w:val="0"/>
        </w:rPr>
        <w:fldChar w:fldCharType="separate"/>
      </w:r>
      <w:r>
        <w:rPr>
          <w:b w:val="0"/>
        </w:rPr>
        <w:t>25</w:t>
      </w:r>
      <w:r>
        <w:rPr>
          <w:b w:val="0"/>
        </w:rPr>
        <w:fldChar w:fldCharType="end"/>
      </w:r>
      <w:r>
        <w:rPr>
          <w:b w:val="0"/>
        </w:rPr>
        <w:fldChar w:fldCharType="end"/>
      </w:r>
    </w:p>
    <w:p w14:paraId="5C8E4E98">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"_Toc69831244" </w:instrText>
      </w:r>
      <w:r>
        <w:fldChar w:fldCharType="separate"/>
      </w:r>
      <w:r>
        <w:rPr>
          <w:rStyle w:val="27"/>
          <w:rFonts w:hint="eastAsia" w:ascii="Times New Roman" w:hAnsi="Times New Roman" w:cs="Times New Roman"/>
          <w:b w:val="0"/>
          <w:lang w:eastAsia="zh-CN"/>
        </w:rPr>
        <w:t>第六部分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基金的募集</w:t>
      </w:r>
      <w:r>
        <w:rPr>
          <w:b w:val="0"/>
        </w:rPr>
        <w:tab/>
      </w:r>
      <w:r>
        <w:rPr>
          <w:b w:val="0"/>
        </w:rPr>
        <w:fldChar w:fldCharType="begin"/>
      </w:r>
      <w:r>
        <w:rPr>
          <w:b w:val="0"/>
        </w:rPr>
        <w:instrText xml:space="preserve"> PAGEREF _Toc69831244 \h </w:instrText>
      </w:r>
      <w:r>
        <w:rPr>
          <w:b w:val="0"/>
        </w:rPr>
        <w:fldChar w:fldCharType="separate"/>
      </w:r>
      <w:r>
        <w:rPr>
          <w:b w:val="0"/>
        </w:rPr>
        <w:t>27</w:t>
      </w:r>
      <w:r>
        <w:rPr>
          <w:b w:val="0"/>
        </w:rPr>
        <w:fldChar w:fldCharType="end"/>
      </w:r>
      <w:r>
        <w:rPr>
          <w:b w:val="0"/>
        </w:rPr>
        <w:fldChar w:fldCharType="end"/>
      </w:r>
    </w:p>
    <w:p w14:paraId="29DB3569">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"_Toc69831245" </w:instrText>
      </w:r>
      <w:r>
        <w:fldChar w:fldCharType="separate"/>
      </w:r>
      <w:r>
        <w:rPr>
          <w:rStyle w:val="27"/>
          <w:rFonts w:hint="eastAsia" w:ascii="Times New Roman" w:hAnsi="Times New Roman" w:cs="Times New Roman"/>
          <w:b w:val="0"/>
          <w:lang w:eastAsia="zh-CN"/>
        </w:rPr>
        <w:t>第七部分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基金合同的生效</w:t>
      </w:r>
      <w:r>
        <w:rPr>
          <w:b w:val="0"/>
        </w:rPr>
        <w:tab/>
      </w:r>
      <w:r>
        <w:rPr>
          <w:b w:val="0"/>
        </w:rPr>
        <w:fldChar w:fldCharType="begin"/>
      </w:r>
      <w:r>
        <w:rPr>
          <w:b w:val="0"/>
        </w:rPr>
        <w:instrText xml:space="preserve"> PAGEREF _Toc69831245 \h </w:instrText>
      </w:r>
      <w:r>
        <w:rPr>
          <w:b w:val="0"/>
        </w:rPr>
        <w:fldChar w:fldCharType="separate"/>
      </w:r>
      <w:r>
        <w:rPr>
          <w:b w:val="0"/>
        </w:rPr>
        <w:t>28</w:t>
      </w:r>
      <w:r>
        <w:rPr>
          <w:b w:val="0"/>
        </w:rPr>
        <w:fldChar w:fldCharType="end"/>
      </w:r>
      <w:r>
        <w:rPr>
          <w:b w:val="0"/>
        </w:rPr>
        <w:fldChar w:fldCharType="end"/>
      </w:r>
    </w:p>
    <w:p w14:paraId="36D7CF58">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"_Toc69831246" </w:instrText>
      </w:r>
      <w:r>
        <w:fldChar w:fldCharType="separate"/>
      </w:r>
      <w:r>
        <w:rPr>
          <w:rStyle w:val="27"/>
          <w:rFonts w:hint="eastAsia" w:ascii="Times New Roman" w:hAnsi="Times New Roman" w:cs="Times New Roman"/>
          <w:b w:val="0"/>
          <w:lang w:eastAsia="zh-CN"/>
        </w:rPr>
        <w:t>第八部分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基金份额的申购、赎回</w:t>
      </w:r>
      <w:r>
        <w:rPr>
          <w:b w:val="0"/>
        </w:rPr>
        <w:tab/>
      </w:r>
      <w:r>
        <w:rPr>
          <w:b w:val="0"/>
        </w:rPr>
        <w:fldChar w:fldCharType="begin"/>
      </w:r>
      <w:r>
        <w:rPr>
          <w:b w:val="0"/>
        </w:rPr>
        <w:instrText xml:space="preserve"> PAGEREF _Toc69831246 \h </w:instrText>
      </w:r>
      <w:r>
        <w:rPr>
          <w:b w:val="0"/>
        </w:rPr>
        <w:fldChar w:fldCharType="separate"/>
      </w:r>
      <w:r>
        <w:rPr>
          <w:b w:val="0"/>
        </w:rPr>
        <w:t>29</w:t>
      </w:r>
      <w:r>
        <w:rPr>
          <w:b w:val="0"/>
        </w:rPr>
        <w:fldChar w:fldCharType="end"/>
      </w:r>
      <w:r>
        <w:rPr>
          <w:b w:val="0"/>
        </w:rPr>
        <w:fldChar w:fldCharType="end"/>
      </w:r>
    </w:p>
    <w:p w14:paraId="28239B8D">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"_Toc69831247" </w:instrText>
      </w:r>
      <w:r>
        <w:fldChar w:fldCharType="separate"/>
      </w:r>
      <w:r>
        <w:rPr>
          <w:rStyle w:val="27"/>
          <w:rFonts w:hint="eastAsia" w:ascii="Times New Roman" w:hAnsi="Times New Roman" w:cs="Times New Roman"/>
          <w:b w:val="0"/>
          <w:lang w:eastAsia="zh-CN"/>
        </w:rPr>
        <w:t>第九部分</w:t>
      </w:r>
      <w:r>
        <w:rPr>
          <w:rStyle w:val="27"/>
          <w:rFonts w:ascii="Times New Roman" w:hAnsi="Times New Roman" w:cs="Times New Roman"/>
          <w:b w:val="0"/>
          <w:lang w:eastAsia="zh-CN"/>
        </w:rPr>
        <w:t xml:space="preserve">  基金转换</w:t>
      </w:r>
      <w:r>
        <w:rPr>
          <w:rStyle w:val="27"/>
          <w:rFonts w:hint="eastAsia" w:ascii="Times New Roman" w:hAnsi="Times New Roman" w:cs="Times New Roman"/>
          <w:b w:val="0"/>
          <w:lang w:eastAsia="zh-CN"/>
        </w:rPr>
        <w:t>和基金份额的转让</w:t>
      </w:r>
      <w:r>
        <w:rPr>
          <w:b w:val="0"/>
        </w:rPr>
        <w:tab/>
      </w:r>
      <w:r>
        <w:rPr>
          <w:b w:val="0"/>
        </w:rPr>
        <w:fldChar w:fldCharType="begin"/>
      </w:r>
      <w:r>
        <w:rPr>
          <w:b w:val="0"/>
        </w:rPr>
        <w:instrText xml:space="preserve"> PAGEREF _Toc69831247 \h </w:instrText>
      </w:r>
      <w:r>
        <w:rPr>
          <w:b w:val="0"/>
        </w:rPr>
        <w:fldChar w:fldCharType="separate"/>
      </w:r>
      <w:r>
        <w:rPr>
          <w:b w:val="0"/>
        </w:rPr>
        <w:t>39</w:t>
      </w:r>
      <w:r>
        <w:rPr>
          <w:b w:val="0"/>
        </w:rPr>
        <w:fldChar w:fldCharType="end"/>
      </w:r>
      <w:r>
        <w:rPr>
          <w:b w:val="0"/>
        </w:rPr>
        <w:fldChar w:fldCharType="end"/>
      </w:r>
    </w:p>
    <w:p w14:paraId="2CFA1AD9">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"_Toc69831248" </w:instrText>
      </w:r>
      <w:r>
        <w:fldChar w:fldCharType="separate"/>
      </w:r>
      <w:r>
        <w:rPr>
          <w:rStyle w:val="27"/>
          <w:rFonts w:hint="eastAsia" w:ascii="Times New Roman" w:hAnsi="Times New Roman" w:cs="Times New Roman"/>
          <w:b w:val="0"/>
          <w:lang w:eastAsia="zh-CN"/>
        </w:rPr>
        <w:t>第十部分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基金的转托管、非交易过户、冻结与解冻</w:t>
      </w:r>
      <w:r>
        <w:rPr>
          <w:b w:val="0"/>
        </w:rPr>
        <w:tab/>
      </w:r>
      <w:r>
        <w:rPr>
          <w:b w:val="0"/>
        </w:rPr>
        <w:fldChar w:fldCharType="begin"/>
      </w:r>
      <w:r>
        <w:rPr>
          <w:b w:val="0"/>
        </w:rPr>
        <w:instrText xml:space="preserve"> PAGEREF _Toc69831248 \h </w:instrText>
      </w:r>
      <w:r>
        <w:rPr>
          <w:b w:val="0"/>
        </w:rPr>
        <w:fldChar w:fldCharType="separate"/>
      </w:r>
      <w:r>
        <w:rPr>
          <w:b w:val="0"/>
        </w:rPr>
        <w:t>40</w:t>
      </w:r>
      <w:r>
        <w:rPr>
          <w:b w:val="0"/>
        </w:rPr>
        <w:fldChar w:fldCharType="end"/>
      </w:r>
      <w:r>
        <w:rPr>
          <w:b w:val="0"/>
        </w:rPr>
        <w:fldChar w:fldCharType="end"/>
      </w:r>
    </w:p>
    <w:p w14:paraId="6AE9A286">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"_Toc69831249" </w:instrText>
      </w:r>
      <w:r>
        <w:fldChar w:fldCharType="separate"/>
      </w:r>
      <w:r>
        <w:rPr>
          <w:rStyle w:val="27"/>
          <w:rFonts w:hint="eastAsia" w:ascii="Times New Roman" w:hAnsi="Times New Roman" w:cs="Times New Roman"/>
          <w:b w:val="0"/>
          <w:lang w:eastAsia="zh-CN"/>
        </w:rPr>
        <w:t>第十一部分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基金的投资</w:t>
      </w:r>
      <w:r>
        <w:rPr>
          <w:b w:val="0"/>
        </w:rPr>
        <w:tab/>
      </w:r>
      <w:r>
        <w:rPr>
          <w:b w:val="0"/>
        </w:rPr>
        <w:fldChar w:fldCharType="begin"/>
      </w:r>
      <w:r>
        <w:rPr>
          <w:b w:val="0"/>
        </w:rPr>
        <w:instrText xml:space="preserve"> PAGEREF _Toc69831249 \h </w:instrText>
      </w:r>
      <w:r>
        <w:rPr>
          <w:b w:val="0"/>
        </w:rPr>
        <w:fldChar w:fldCharType="separate"/>
      </w:r>
      <w:r>
        <w:rPr>
          <w:b w:val="0"/>
        </w:rPr>
        <w:t>41</w:t>
      </w:r>
      <w:r>
        <w:rPr>
          <w:b w:val="0"/>
        </w:rPr>
        <w:fldChar w:fldCharType="end"/>
      </w:r>
      <w:r>
        <w:rPr>
          <w:b w:val="0"/>
        </w:rPr>
        <w:fldChar w:fldCharType="end"/>
      </w:r>
    </w:p>
    <w:p w14:paraId="6CE572D3">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"_Toc69831250" </w:instrText>
      </w:r>
      <w:r>
        <w:fldChar w:fldCharType="separate"/>
      </w:r>
      <w:r>
        <w:rPr>
          <w:rStyle w:val="27"/>
          <w:rFonts w:hint="eastAsia" w:ascii="Times New Roman" w:hAnsi="Times New Roman" w:cs="Times New Roman"/>
          <w:b w:val="0"/>
          <w:lang w:eastAsia="zh-CN"/>
        </w:rPr>
        <w:t>第十二部分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基金的财产</w:t>
      </w:r>
      <w:r>
        <w:rPr>
          <w:b w:val="0"/>
        </w:rPr>
        <w:tab/>
      </w:r>
      <w:r>
        <w:rPr>
          <w:b w:val="0"/>
        </w:rPr>
        <w:fldChar w:fldCharType="begin"/>
      </w:r>
      <w:r>
        <w:rPr>
          <w:b w:val="0"/>
        </w:rPr>
        <w:instrText xml:space="preserve"> PAGEREF _Toc69831250 \h </w:instrText>
      </w:r>
      <w:r>
        <w:rPr>
          <w:b w:val="0"/>
        </w:rPr>
        <w:fldChar w:fldCharType="separate"/>
      </w:r>
      <w:r>
        <w:rPr>
          <w:b w:val="0"/>
        </w:rPr>
        <w:t>52</w:t>
      </w:r>
      <w:r>
        <w:rPr>
          <w:b w:val="0"/>
        </w:rPr>
        <w:fldChar w:fldCharType="end"/>
      </w:r>
      <w:r>
        <w:rPr>
          <w:b w:val="0"/>
        </w:rPr>
        <w:fldChar w:fldCharType="end"/>
      </w:r>
    </w:p>
    <w:p w14:paraId="57EC3885">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"_Toc69831251" </w:instrText>
      </w:r>
      <w:r>
        <w:fldChar w:fldCharType="separate"/>
      </w:r>
      <w:r>
        <w:rPr>
          <w:rStyle w:val="27"/>
          <w:rFonts w:hint="eastAsia" w:ascii="Times New Roman" w:hAnsi="Times New Roman" w:cs="Times New Roman"/>
          <w:b w:val="0"/>
          <w:lang w:eastAsia="zh-CN"/>
        </w:rPr>
        <w:t>第十三部分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基金资产的估值</w:t>
      </w:r>
      <w:r>
        <w:rPr>
          <w:b w:val="0"/>
        </w:rPr>
        <w:tab/>
      </w:r>
      <w:r>
        <w:rPr>
          <w:b w:val="0"/>
        </w:rPr>
        <w:fldChar w:fldCharType="begin"/>
      </w:r>
      <w:r>
        <w:rPr>
          <w:b w:val="0"/>
        </w:rPr>
        <w:instrText xml:space="preserve"> PAGEREF _Toc69831251 \h </w:instrText>
      </w:r>
      <w:r>
        <w:rPr>
          <w:b w:val="0"/>
        </w:rPr>
        <w:fldChar w:fldCharType="separate"/>
      </w:r>
      <w:r>
        <w:rPr>
          <w:b w:val="0"/>
        </w:rPr>
        <w:t>53</w:t>
      </w:r>
      <w:r>
        <w:rPr>
          <w:b w:val="0"/>
        </w:rPr>
        <w:fldChar w:fldCharType="end"/>
      </w:r>
      <w:r>
        <w:rPr>
          <w:b w:val="0"/>
        </w:rPr>
        <w:fldChar w:fldCharType="end"/>
      </w:r>
    </w:p>
    <w:p w14:paraId="5DAFADBB">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"_Toc69831252" </w:instrText>
      </w:r>
      <w:r>
        <w:fldChar w:fldCharType="separate"/>
      </w:r>
      <w:r>
        <w:rPr>
          <w:rStyle w:val="27"/>
          <w:rFonts w:hint="eastAsia" w:ascii="Times New Roman" w:hAnsi="Times New Roman" w:cs="Times New Roman"/>
          <w:b w:val="0"/>
          <w:lang w:eastAsia="zh-CN"/>
        </w:rPr>
        <w:t>第十四部分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基金的收益与分配</w:t>
      </w:r>
      <w:r>
        <w:rPr>
          <w:b w:val="0"/>
        </w:rPr>
        <w:tab/>
      </w:r>
      <w:r>
        <w:rPr>
          <w:b w:val="0"/>
        </w:rPr>
        <w:fldChar w:fldCharType="begin"/>
      </w:r>
      <w:r>
        <w:rPr>
          <w:b w:val="0"/>
        </w:rPr>
        <w:instrText xml:space="preserve"> PAGEREF _Toc69831252 \h </w:instrText>
      </w:r>
      <w:r>
        <w:rPr>
          <w:b w:val="0"/>
        </w:rPr>
        <w:fldChar w:fldCharType="separate"/>
      </w:r>
      <w:r>
        <w:rPr>
          <w:b w:val="0"/>
        </w:rPr>
        <w:t>59</w:t>
      </w:r>
      <w:r>
        <w:rPr>
          <w:b w:val="0"/>
        </w:rPr>
        <w:fldChar w:fldCharType="end"/>
      </w:r>
      <w:r>
        <w:rPr>
          <w:b w:val="0"/>
        </w:rPr>
        <w:fldChar w:fldCharType="end"/>
      </w:r>
    </w:p>
    <w:p w14:paraId="00B2DC07">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"_Toc69831253" </w:instrText>
      </w:r>
      <w:r>
        <w:fldChar w:fldCharType="separate"/>
      </w:r>
      <w:r>
        <w:rPr>
          <w:rStyle w:val="27"/>
          <w:rFonts w:hint="eastAsia" w:ascii="Times New Roman" w:hAnsi="Times New Roman" w:cs="Times New Roman"/>
          <w:b w:val="0"/>
          <w:lang w:eastAsia="zh-CN"/>
        </w:rPr>
        <w:t>第十五部分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基金的费用与税收</w:t>
      </w:r>
      <w:r>
        <w:rPr>
          <w:b w:val="0"/>
        </w:rPr>
        <w:tab/>
      </w:r>
      <w:r>
        <w:rPr>
          <w:b w:val="0"/>
        </w:rPr>
        <w:fldChar w:fldCharType="begin"/>
      </w:r>
      <w:r>
        <w:rPr>
          <w:b w:val="0"/>
        </w:rPr>
        <w:instrText xml:space="preserve"> PAGEREF _Toc69831253 \h </w:instrText>
      </w:r>
      <w:r>
        <w:rPr>
          <w:b w:val="0"/>
        </w:rPr>
        <w:fldChar w:fldCharType="separate"/>
      </w:r>
      <w:r>
        <w:rPr>
          <w:b w:val="0"/>
        </w:rPr>
        <w:t>61</w:t>
      </w:r>
      <w:r>
        <w:rPr>
          <w:b w:val="0"/>
        </w:rPr>
        <w:fldChar w:fldCharType="end"/>
      </w:r>
      <w:r>
        <w:rPr>
          <w:b w:val="0"/>
        </w:rPr>
        <w:fldChar w:fldCharType="end"/>
      </w:r>
    </w:p>
    <w:p w14:paraId="6192126E">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"_Toc69831254" </w:instrText>
      </w:r>
      <w:r>
        <w:fldChar w:fldCharType="separate"/>
      </w:r>
      <w:r>
        <w:rPr>
          <w:rStyle w:val="27"/>
          <w:rFonts w:hint="eastAsia" w:ascii="Times New Roman" w:hAnsi="Times New Roman" w:cs="Times New Roman"/>
          <w:b w:val="0"/>
          <w:lang w:eastAsia="zh-CN"/>
        </w:rPr>
        <w:t>第十六部分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基金的会计与审计</w:t>
      </w:r>
      <w:r>
        <w:rPr>
          <w:b w:val="0"/>
        </w:rPr>
        <w:tab/>
      </w:r>
      <w:r>
        <w:rPr>
          <w:b w:val="0"/>
        </w:rPr>
        <w:fldChar w:fldCharType="begin"/>
      </w:r>
      <w:r>
        <w:rPr>
          <w:b w:val="0"/>
        </w:rPr>
        <w:instrText xml:space="preserve"> PAGEREF _Toc69831254 \h </w:instrText>
      </w:r>
      <w:r>
        <w:rPr>
          <w:b w:val="0"/>
        </w:rPr>
        <w:fldChar w:fldCharType="separate"/>
      </w:r>
      <w:r>
        <w:rPr>
          <w:b w:val="0"/>
        </w:rPr>
        <w:t>61</w:t>
      </w:r>
      <w:r>
        <w:rPr>
          <w:b w:val="0"/>
        </w:rPr>
        <w:fldChar w:fldCharType="end"/>
      </w:r>
      <w:r>
        <w:rPr>
          <w:b w:val="0"/>
        </w:rPr>
        <w:fldChar w:fldCharType="end"/>
      </w:r>
    </w:p>
    <w:p w14:paraId="575C9EF1">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"_Toc69831255" </w:instrText>
      </w:r>
      <w:r>
        <w:fldChar w:fldCharType="separate"/>
      </w:r>
      <w:r>
        <w:rPr>
          <w:rStyle w:val="27"/>
          <w:rFonts w:hint="eastAsia" w:ascii="Times New Roman" w:hAnsi="Times New Roman" w:cs="Times New Roman"/>
          <w:b w:val="0"/>
          <w:lang w:eastAsia="zh-CN"/>
        </w:rPr>
        <w:t>第十七部分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基金的信息披露</w:t>
      </w:r>
      <w:r>
        <w:rPr>
          <w:b w:val="0"/>
        </w:rPr>
        <w:tab/>
      </w:r>
      <w:r>
        <w:rPr>
          <w:b w:val="0"/>
        </w:rPr>
        <w:fldChar w:fldCharType="begin"/>
      </w:r>
      <w:r>
        <w:rPr>
          <w:b w:val="0"/>
        </w:rPr>
        <w:instrText xml:space="preserve"> PAGEREF _Toc69831255 \h </w:instrText>
      </w:r>
      <w:r>
        <w:rPr>
          <w:b w:val="0"/>
        </w:rPr>
        <w:fldChar w:fldCharType="separate"/>
      </w:r>
      <w:r>
        <w:rPr>
          <w:b w:val="0"/>
        </w:rPr>
        <w:t>64</w:t>
      </w:r>
      <w:r>
        <w:rPr>
          <w:b w:val="0"/>
        </w:rPr>
        <w:fldChar w:fldCharType="end"/>
      </w:r>
      <w:r>
        <w:rPr>
          <w:b w:val="0"/>
        </w:rPr>
        <w:fldChar w:fldCharType="end"/>
      </w:r>
    </w:p>
    <w:p w14:paraId="30628821">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"_Toc69831256" </w:instrText>
      </w:r>
      <w:r>
        <w:fldChar w:fldCharType="separate"/>
      </w:r>
      <w:r>
        <w:rPr>
          <w:rStyle w:val="27"/>
          <w:rFonts w:hint="eastAsia" w:ascii="Times New Roman" w:hAnsi="Times New Roman" w:cs="Times New Roman"/>
          <w:b w:val="0"/>
          <w:lang w:eastAsia="zh-CN"/>
        </w:rPr>
        <w:t>第十八部分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侧袋机制</w:t>
      </w:r>
      <w:r>
        <w:rPr>
          <w:b w:val="0"/>
        </w:rPr>
        <w:tab/>
      </w:r>
      <w:r>
        <w:rPr>
          <w:b w:val="0"/>
        </w:rPr>
        <w:fldChar w:fldCharType="begin"/>
      </w:r>
      <w:r>
        <w:rPr>
          <w:b w:val="0"/>
        </w:rPr>
        <w:instrText xml:space="preserve"> PAGEREF _Toc69831256 \h </w:instrText>
      </w:r>
      <w:r>
        <w:rPr>
          <w:b w:val="0"/>
        </w:rPr>
        <w:fldChar w:fldCharType="separate"/>
      </w:r>
      <w:r>
        <w:rPr>
          <w:b w:val="0"/>
        </w:rPr>
        <w:t>71</w:t>
      </w:r>
      <w:r>
        <w:rPr>
          <w:b w:val="0"/>
        </w:rPr>
        <w:fldChar w:fldCharType="end"/>
      </w:r>
      <w:r>
        <w:rPr>
          <w:b w:val="0"/>
        </w:rPr>
        <w:fldChar w:fldCharType="end"/>
      </w:r>
    </w:p>
    <w:p w14:paraId="70265590">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"_Toc69831257" </w:instrText>
      </w:r>
      <w:r>
        <w:fldChar w:fldCharType="separate"/>
      </w:r>
      <w:r>
        <w:rPr>
          <w:rStyle w:val="27"/>
          <w:rFonts w:hint="eastAsia" w:ascii="Times New Roman" w:hAnsi="Times New Roman" w:cs="Times New Roman"/>
          <w:b w:val="0"/>
          <w:lang w:eastAsia="zh-CN"/>
        </w:rPr>
        <w:t>第十九部分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风险揭示</w:t>
      </w:r>
      <w:r>
        <w:rPr>
          <w:b w:val="0"/>
        </w:rPr>
        <w:tab/>
      </w:r>
      <w:r>
        <w:rPr>
          <w:b w:val="0"/>
        </w:rPr>
        <w:fldChar w:fldCharType="begin"/>
      </w:r>
      <w:r>
        <w:rPr>
          <w:b w:val="0"/>
        </w:rPr>
        <w:instrText xml:space="preserve"> PAGEREF _Toc69831257 \h </w:instrText>
      </w:r>
      <w:r>
        <w:rPr>
          <w:b w:val="0"/>
        </w:rPr>
        <w:fldChar w:fldCharType="separate"/>
      </w:r>
      <w:r>
        <w:rPr>
          <w:b w:val="0"/>
        </w:rPr>
        <w:t>74</w:t>
      </w:r>
      <w:r>
        <w:rPr>
          <w:b w:val="0"/>
        </w:rPr>
        <w:fldChar w:fldCharType="end"/>
      </w:r>
      <w:r>
        <w:rPr>
          <w:b w:val="0"/>
        </w:rPr>
        <w:fldChar w:fldCharType="end"/>
      </w:r>
    </w:p>
    <w:p w14:paraId="2E985243">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"_Toc69831258" </w:instrText>
      </w:r>
      <w:r>
        <w:fldChar w:fldCharType="separate"/>
      </w:r>
      <w:r>
        <w:rPr>
          <w:rStyle w:val="27"/>
          <w:rFonts w:hint="eastAsia" w:ascii="Times New Roman" w:hAnsi="Times New Roman" w:cs="Times New Roman"/>
          <w:b w:val="0"/>
          <w:lang w:eastAsia="zh-CN"/>
        </w:rPr>
        <w:t>第二十部分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基金合同的变更、终止与基金财产的清算</w:t>
      </w:r>
      <w:r>
        <w:rPr>
          <w:b w:val="0"/>
        </w:rPr>
        <w:tab/>
      </w:r>
      <w:r>
        <w:rPr>
          <w:b w:val="0"/>
        </w:rPr>
        <w:fldChar w:fldCharType="begin"/>
      </w:r>
      <w:r>
        <w:rPr>
          <w:b w:val="0"/>
        </w:rPr>
        <w:instrText xml:space="preserve"> PAGEREF _Toc69831258 \h </w:instrText>
      </w:r>
      <w:r>
        <w:rPr>
          <w:b w:val="0"/>
        </w:rPr>
        <w:fldChar w:fldCharType="separate"/>
      </w:r>
      <w:r>
        <w:rPr>
          <w:b w:val="0"/>
        </w:rPr>
        <w:t>79</w:t>
      </w:r>
      <w:r>
        <w:rPr>
          <w:b w:val="0"/>
        </w:rPr>
        <w:fldChar w:fldCharType="end"/>
      </w:r>
      <w:r>
        <w:rPr>
          <w:b w:val="0"/>
        </w:rPr>
        <w:fldChar w:fldCharType="end"/>
      </w:r>
    </w:p>
    <w:p w14:paraId="36338142">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"_Toc69831259" </w:instrText>
      </w:r>
      <w:r>
        <w:fldChar w:fldCharType="separate"/>
      </w:r>
      <w:r>
        <w:rPr>
          <w:rStyle w:val="27"/>
          <w:rFonts w:hint="eastAsia" w:ascii="Times New Roman" w:hAnsi="Times New Roman" w:cs="Times New Roman"/>
          <w:b w:val="0"/>
          <w:lang w:eastAsia="zh-CN"/>
        </w:rPr>
        <w:t>第二十一部分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基金合同的内容摘要</w:t>
      </w:r>
      <w:r>
        <w:rPr>
          <w:b w:val="0"/>
        </w:rPr>
        <w:tab/>
      </w:r>
      <w:r>
        <w:rPr>
          <w:b w:val="0"/>
        </w:rPr>
        <w:fldChar w:fldCharType="begin"/>
      </w:r>
      <w:r>
        <w:rPr>
          <w:b w:val="0"/>
        </w:rPr>
        <w:instrText xml:space="preserve"> PAGEREF _Toc69831259 \h </w:instrText>
      </w:r>
      <w:r>
        <w:rPr>
          <w:b w:val="0"/>
        </w:rPr>
        <w:fldChar w:fldCharType="separate"/>
      </w:r>
      <w:r>
        <w:rPr>
          <w:b w:val="0"/>
        </w:rPr>
        <w:t>81</w:t>
      </w:r>
      <w:r>
        <w:rPr>
          <w:b w:val="0"/>
        </w:rPr>
        <w:fldChar w:fldCharType="end"/>
      </w:r>
      <w:r>
        <w:rPr>
          <w:b w:val="0"/>
        </w:rPr>
        <w:fldChar w:fldCharType="end"/>
      </w:r>
    </w:p>
    <w:p w14:paraId="16736694">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"_Toc69831260" </w:instrText>
      </w:r>
      <w:r>
        <w:fldChar w:fldCharType="separate"/>
      </w:r>
      <w:r>
        <w:rPr>
          <w:rStyle w:val="27"/>
          <w:rFonts w:hint="eastAsia" w:ascii="Times New Roman" w:hAnsi="Times New Roman" w:cs="Times New Roman"/>
          <w:b w:val="0"/>
          <w:lang w:eastAsia="zh-CN"/>
        </w:rPr>
        <w:t>第二十二部分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托管协议的内容摘要</w:t>
      </w:r>
      <w:r>
        <w:rPr>
          <w:b w:val="0"/>
        </w:rPr>
        <w:tab/>
      </w:r>
      <w:r>
        <w:rPr>
          <w:b w:val="0"/>
        </w:rPr>
        <w:fldChar w:fldCharType="begin"/>
      </w:r>
      <w:r>
        <w:rPr>
          <w:b w:val="0"/>
        </w:rPr>
        <w:instrText xml:space="preserve"> PAGEREF _Toc69831260 \h </w:instrText>
      </w:r>
      <w:r>
        <w:rPr>
          <w:b w:val="0"/>
        </w:rPr>
        <w:fldChar w:fldCharType="separate"/>
      </w:r>
      <w:r>
        <w:rPr>
          <w:b w:val="0"/>
        </w:rPr>
        <w:t>104</w:t>
      </w:r>
      <w:r>
        <w:rPr>
          <w:b w:val="0"/>
        </w:rPr>
        <w:fldChar w:fldCharType="end"/>
      </w:r>
      <w:r>
        <w:rPr>
          <w:b w:val="0"/>
        </w:rPr>
        <w:fldChar w:fldCharType="end"/>
      </w:r>
    </w:p>
    <w:p w14:paraId="1A56F4A0">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"_Toc69831261" </w:instrText>
      </w:r>
      <w:r>
        <w:fldChar w:fldCharType="separate"/>
      </w:r>
      <w:r>
        <w:rPr>
          <w:rStyle w:val="27"/>
          <w:rFonts w:hint="eastAsia" w:ascii="Times New Roman" w:hAnsi="Times New Roman" w:cs="Times New Roman"/>
          <w:b w:val="0"/>
          <w:lang w:eastAsia="zh-CN"/>
        </w:rPr>
        <w:t>第二十三部分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对基金份额持有人的服务</w:t>
      </w:r>
      <w:r>
        <w:rPr>
          <w:b w:val="0"/>
        </w:rPr>
        <w:tab/>
      </w:r>
      <w:r>
        <w:rPr>
          <w:b w:val="0"/>
        </w:rPr>
        <w:fldChar w:fldCharType="begin"/>
      </w:r>
      <w:r>
        <w:rPr>
          <w:b w:val="0"/>
        </w:rPr>
        <w:instrText xml:space="preserve"> PAGEREF _Toc69831261 \h </w:instrText>
      </w:r>
      <w:r>
        <w:rPr>
          <w:b w:val="0"/>
        </w:rPr>
        <w:fldChar w:fldCharType="separate"/>
      </w:r>
      <w:r>
        <w:rPr>
          <w:b w:val="0"/>
        </w:rPr>
        <w:t>123</w:t>
      </w:r>
      <w:r>
        <w:rPr>
          <w:b w:val="0"/>
        </w:rPr>
        <w:fldChar w:fldCharType="end"/>
      </w:r>
      <w:r>
        <w:rPr>
          <w:b w:val="0"/>
        </w:rPr>
        <w:fldChar w:fldCharType="end"/>
      </w:r>
    </w:p>
    <w:p w14:paraId="02F330DA">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"_Toc69831262" </w:instrText>
      </w:r>
      <w:r>
        <w:fldChar w:fldCharType="separate"/>
      </w:r>
      <w:r>
        <w:rPr>
          <w:rStyle w:val="27"/>
          <w:rFonts w:hint="eastAsia" w:ascii="Times New Roman" w:hAnsi="Times New Roman" w:cs="Times New Roman"/>
          <w:b w:val="0"/>
          <w:lang w:eastAsia="zh-CN"/>
        </w:rPr>
        <w:t>第二十四部分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其他应披露事项</w:t>
      </w:r>
      <w:r>
        <w:rPr>
          <w:b w:val="0"/>
        </w:rPr>
        <w:tab/>
      </w:r>
      <w:r>
        <w:rPr>
          <w:b w:val="0"/>
        </w:rPr>
        <w:fldChar w:fldCharType="begin"/>
      </w:r>
      <w:r>
        <w:rPr>
          <w:b w:val="0"/>
        </w:rPr>
        <w:instrText xml:space="preserve"> PAGEREF _Toc69831262 \h </w:instrText>
      </w:r>
      <w:r>
        <w:rPr>
          <w:b w:val="0"/>
        </w:rPr>
        <w:fldChar w:fldCharType="separate"/>
      </w:r>
      <w:r>
        <w:rPr>
          <w:b w:val="0"/>
        </w:rPr>
        <w:t>125</w:t>
      </w:r>
      <w:r>
        <w:rPr>
          <w:b w:val="0"/>
        </w:rPr>
        <w:fldChar w:fldCharType="end"/>
      </w:r>
      <w:r>
        <w:rPr>
          <w:b w:val="0"/>
        </w:rPr>
        <w:fldChar w:fldCharType="end"/>
      </w:r>
    </w:p>
    <w:p w14:paraId="23D1872D">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"_Toc69831263" </w:instrText>
      </w:r>
      <w:r>
        <w:fldChar w:fldCharType="separate"/>
      </w:r>
      <w:r>
        <w:rPr>
          <w:rStyle w:val="27"/>
          <w:rFonts w:hint="eastAsia" w:ascii="Times New Roman" w:hAnsi="Times New Roman" w:cs="Times New Roman"/>
          <w:b w:val="0"/>
          <w:lang w:eastAsia="zh-CN"/>
        </w:rPr>
        <w:t>第二十五部分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招募说明书的存放及查阅方式</w:t>
      </w:r>
      <w:r>
        <w:rPr>
          <w:b w:val="0"/>
        </w:rPr>
        <w:tab/>
      </w:r>
      <w:r>
        <w:rPr>
          <w:b w:val="0"/>
        </w:rPr>
        <w:fldChar w:fldCharType="begin"/>
      </w:r>
      <w:r>
        <w:rPr>
          <w:b w:val="0"/>
        </w:rPr>
        <w:instrText xml:space="preserve"> PAGEREF _Toc69831263 \h </w:instrText>
      </w:r>
      <w:r>
        <w:rPr>
          <w:b w:val="0"/>
        </w:rPr>
        <w:fldChar w:fldCharType="separate"/>
      </w:r>
      <w:r>
        <w:rPr>
          <w:b w:val="0"/>
        </w:rPr>
        <w:t>127</w:t>
      </w:r>
      <w:r>
        <w:rPr>
          <w:b w:val="0"/>
        </w:rPr>
        <w:fldChar w:fldCharType="end"/>
      </w:r>
      <w:r>
        <w:rPr>
          <w:b w:val="0"/>
        </w:rPr>
        <w:fldChar w:fldCharType="end"/>
      </w:r>
    </w:p>
    <w:p w14:paraId="20CAD361">
      <w:pPr>
        <w:pStyle w:val="17"/>
        <w:tabs>
          <w:tab w:val="right" w:leader="dot" w:pos="8300"/>
        </w:tabs>
        <w:rPr>
          <w:rFonts w:eastAsiaTheme="minorEastAsia" w:cstheme="minorBidi"/>
          <w:b w:val="0"/>
          <w:bCs w:val="0"/>
          <w:caps w:val="0"/>
          <w:kern w:val="2"/>
          <w:sz w:val="21"/>
          <w:szCs w:val="22"/>
          <w:lang w:eastAsia="zh-CN" w:bidi="ar-SA"/>
        </w:rPr>
      </w:pPr>
      <w:r>
        <w:fldChar w:fldCharType="begin"/>
      </w:r>
      <w:r>
        <w:instrText xml:space="preserve"> HYPERLINK \l "_Toc69831264" </w:instrText>
      </w:r>
      <w:r>
        <w:fldChar w:fldCharType="separate"/>
      </w:r>
      <w:r>
        <w:rPr>
          <w:rStyle w:val="27"/>
          <w:rFonts w:hint="eastAsia" w:ascii="Times New Roman" w:hAnsi="Times New Roman" w:cs="Times New Roman"/>
          <w:b w:val="0"/>
          <w:lang w:eastAsia="zh-CN"/>
        </w:rPr>
        <w:t>第二十六部分</w:t>
      </w:r>
      <w:r>
        <w:rPr>
          <w:rStyle w:val="27"/>
          <w:rFonts w:ascii="Times New Roman" w:hAnsi="Times New Roman" w:cs="Times New Roman"/>
          <w:b w:val="0"/>
          <w:lang w:eastAsia="zh-CN"/>
        </w:rPr>
        <w:t xml:space="preserve">  </w:t>
      </w:r>
      <w:r>
        <w:rPr>
          <w:rStyle w:val="27"/>
          <w:rFonts w:hint="eastAsia" w:ascii="Times New Roman" w:hAnsi="Times New Roman" w:cs="Times New Roman"/>
          <w:b w:val="0"/>
          <w:lang w:eastAsia="zh-CN"/>
        </w:rPr>
        <w:t>备查文件</w:t>
      </w:r>
      <w:r>
        <w:rPr>
          <w:b w:val="0"/>
        </w:rPr>
        <w:tab/>
      </w:r>
      <w:r>
        <w:rPr>
          <w:b w:val="0"/>
        </w:rPr>
        <w:fldChar w:fldCharType="begin"/>
      </w:r>
      <w:r>
        <w:rPr>
          <w:b w:val="0"/>
        </w:rPr>
        <w:instrText xml:space="preserve"> PAGEREF _Toc69831264 \h </w:instrText>
      </w:r>
      <w:r>
        <w:rPr>
          <w:b w:val="0"/>
        </w:rPr>
        <w:fldChar w:fldCharType="separate"/>
      </w:r>
      <w:r>
        <w:rPr>
          <w:b w:val="0"/>
        </w:rPr>
        <w:t>128</w:t>
      </w:r>
      <w:r>
        <w:rPr>
          <w:b w:val="0"/>
        </w:rPr>
        <w:fldChar w:fldCharType="end"/>
      </w:r>
      <w:r>
        <w:rPr>
          <w:b w:val="0"/>
        </w:rPr>
        <w:fldChar w:fldCharType="end"/>
      </w:r>
    </w:p>
    <w:p w14:paraId="0AEEAFBF">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cs="Times New Roman"/>
          <w:bCs/>
          <w:kern w:val="2"/>
          <w:sz w:val="24"/>
          <w:szCs w:val="20"/>
          <w:lang w:eastAsia="zh-CN" w:bidi="ar-SA"/>
        </w:rPr>
        <w:fldChar w:fldCharType="end"/>
      </w:r>
    </w:p>
    <w:p w14:paraId="5927D876">
      <w:pPr>
        <w:rPr>
          <w:rFonts w:ascii="Times New Roman" w:hAnsi="Times New Roman" w:cs="Times New Roman"/>
          <w:bCs/>
          <w:kern w:val="2"/>
          <w:sz w:val="24"/>
          <w:szCs w:val="20"/>
          <w:lang w:eastAsia="zh-CN" w:bidi="ar-SA"/>
        </w:rPr>
      </w:pPr>
    </w:p>
    <w:p w14:paraId="5C94A01D">
      <w:pPr>
        <w:rPr>
          <w:rFonts w:ascii="Times New Roman" w:hAnsi="Times New Roman" w:cs="Times New Roman"/>
          <w:bCs/>
          <w:kern w:val="2"/>
          <w:sz w:val="24"/>
          <w:szCs w:val="20"/>
          <w:lang w:eastAsia="zh-CN" w:bidi="ar-SA"/>
        </w:rPr>
        <w:sectPr>
          <w:footerReference r:id="rId7" w:type="default"/>
          <w:pgSz w:w="11910" w:h="16840"/>
          <w:pgMar w:top="1440" w:right="1800" w:bottom="1440" w:left="1800" w:header="873" w:footer="991" w:gutter="0"/>
          <w:cols w:space="720" w:num="1"/>
          <w:docGrid w:linePitch="299" w:charSpace="0"/>
        </w:sectPr>
      </w:pPr>
    </w:p>
    <w:p w14:paraId="4256F11D">
      <w:pPr>
        <w:pStyle w:val="2"/>
        <w:keepNext/>
        <w:keepLines/>
        <w:autoSpaceDE/>
        <w:autoSpaceDN/>
        <w:spacing w:before="0" w:line="360" w:lineRule="auto"/>
        <w:ind w:left="0"/>
        <w:jc w:val="center"/>
        <w:rPr>
          <w:rFonts w:ascii="Times New Roman" w:hAnsi="Times New Roman" w:cs="Times New Roman"/>
          <w:b/>
          <w:color w:val="000000"/>
          <w:szCs w:val="20"/>
          <w:lang w:eastAsia="zh-CN" w:bidi="ar-SA"/>
        </w:rPr>
      </w:pPr>
      <w:bookmarkStart w:id="17" w:name="_bookmark0"/>
      <w:bookmarkEnd w:id="17"/>
      <w:bookmarkStart w:id="18" w:name="_Toc69831239"/>
      <w:r>
        <w:rPr>
          <w:rFonts w:hint="eastAsia" w:ascii="Times New Roman" w:hAnsi="Times New Roman" w:cs="Times New Roman"/>
          <w:b/>
          <w:color w:val="000000"/>
          <w:szCs w:val="20"/>
          <w:lang w:eastAsia="zh-CN" w:bidi="ar-SA"/>
        </w:rPr>
        <w:t xml:space="preserve">第一部分  </w:t>
      </w:r>
      <w:r>
        <w:rPr>
          <w:rFonts w:ascii="Times New Roman" w:hAnsi="Times New Roman" w:cs="Times New Roman"/>
          <w:b/>
          <w:color w:val="000000"/>
          <w:szCs w:val="20"/>
          <w:lang w:eastAsia="zh-CN" w:bidi="ar-SA"/>
        </w:rPr>
        <w:t>绪言</w:t>
      </w:r>
      <w:bookmarkEnd w:id="18"/>
    </w:p>
    <w:p w14:paraId="4DA1D418">
      <w:pPr>
        <w:spacing w:line="360" w:lineRule="auto"/>
        <w:ind w:firstLine="480" w:firstLineChars="200"/>
        <w:rPr>
          <w:bCs/>
          <w:sz w:val="24"/>
          <w:lang w:eastAsia="zh-CN"/>
        </w:rPr>
      </w:pPr>
    </w:p>
    <w:p w14:paraId="612C4722">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ascii="Times New Roman" w:hAnsi="Times New Roman" w:cs="Times New Roman"/>
          <w:bCs/>
          <w:kern w:val="2"/>
          <w:sz w:val="24"/>
          <w:szCs w:val="20"/>
          <w:lang w:eastAsia="zh-CN" w:bidi="ar-SA"/>
        </w:rPr>
        <w:t>《</w:t>
      </w:r>
      <w:r>
        <w:rPr>
          <w:rFonts w:hint="eastAsia" w:ascii="Times New Roman" w:hAnsi="Times New Roman" w:cs="Times New Roman"/>
          <w:bCs/>
          <w:kern w:val="2"/>
          <w:sz w:val="24"/>
          <w:szCs w:val="20"/>
          <w:lang w:eastAsia="zh-CN" w:bidi="ar-SA"/>
        </w:rPr>
        <w:t>国新国证鑫泰三个月定期开放债券型证券投资基金</w:t>
      </w:r>
      <w:r>
        <w:rPr>
          <w:rFonts w:ascii="Times New Roman" w:hAnsi="Times New Roman" w:cs="Times New Roman"/>
          <w:bCs/>
          <w:kern w:val="2"/>
          <w:sz w:val="24"/>
          <w:szCs w:val="20"/>
          <w:lang w:eastAsia="zh-CN" w:bidi="ar-SA"/>
        </w:rPr>
        <w:t>招募说明书》</w:t>
      </w:r>
      <w:r>
        <w:rPr>
          <w:rFonts w:hint="eastAsia" w:ascii="Times New Roman" w:hAnsi="Times New Roman" w:cs="Times New Roman"/>
          <w:bCs/>
          <w:kern w:val="2"/>
          <w:sz w:val="24"/>
          <w:szCs w:val="20"/>
          <w:lang w:eastAsia="zh-CN" w:bidi="ar-SA"/>
        </w:rPr>
        <w:t>（以下简称“招募说明书”或“本招募说明书”）</w:t>
      </w:r>
      <w:r>
        <w:rPr>
          <w:rFonts w:ascii="Times New Roman" w:hAnsi="Times New Roman" w:cs="Times New Roman"/>
          <w:bCs/>
          <w:kern w:val="2"/>
          <w:sz w:val="24"/>
          <w:szCs w:val="20"/>
          <w:lang w:eastAsia="zh-CN" w:bidi="ar-SA"/>
        </w:rPr>
        <w:t>依据《中华人民共和国证券投资基金法》（以下简称</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《基金法》</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）、《公开募集证券投资基金运作管理办法》（以下简称</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《运作办法》</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）、《公开募集证券投资基金销售机构监督管理办法》（以下简称</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《销售办法》</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）、《公开募集证券投资基金信息披露管理办法》（以下简称</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《信息披露办法》</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）、《公开募集开放式证券投资基金流动性风险管理规定》（以下简称</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《流动性风险管理规定》</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）、《证券投资基金信息披露内容与格式准则第5号&lt;招募说明书的内容与格式&gt;》、《</w:t>
      </w:r>
      <w:r>
        <w:rPr>
          <w:rFonts w:hint="eastAsia" w:ascii="Times New Roman" w:hAnsi="Times New Roman" w:cs="Times New Roman"/>
          <w:bCs/>
          <w:kern w:val="2"/>
          <w:sz w:val="24"/>
          <w:szCs w:val="20"/>
          <w:lang w:eastAsia="zh-CN" w:bidi="ar-SA"/>
        </w:rPr>
        <w:t>国新国证鑫泰三个月定期开放债券型证券投资基金</w:t>
      </w:r>
      <w:r>
        <w:rPr>
          <w:rFonts w:ascii="Times New Roman" w:hAnsi="Times New Roman" w:cs="Times New Roman"/>
          <w:bCs/>
          <w:kern w:val="2"/>
          <w:sz w:val="24"/>
          <w:szCs w:val="20"/>
          <w:lang w:eastAsia="zh-CN" w:bidi="ar-SA"/>
        </w:rPr>
        <w:t>基金合同》（以下简称</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基金合同</w:t>
      </w:r>
      <w:r>
        <w:rPr>
          <w:rFonts w:hint="eastAsia" w:ascii="Times New Roman" w:hAnsi="Times New Roman" w:cs="Times New Roman"/>
          <w:bCs/>
          <w:kern w:val="2"/>
          <w:sz w:val="24"/>
          <w:szCs w:val="20"/>
          <w:lang w:eastAsia="zh-CN" w:bidi="ar-SA"/>
        </w:rPr>
        <w:t>”或“《基金合同》”</w:t>
      </w:r>
      <w:r>
        <w:rPr>
          <w:rFonts w:ascii="Times New Roman" w:hAnsi="Times New Roman" w:cs="Times New Roman"/>
          <w:bCs/>
          <w:kern w:val="2"/>
          <w:sz w:val="24"/>
          <w:szCs w:val="20"/>
          <w:lang w:eastAsia="zh-CN" w:bidi="ar-SA"/>
        </w:rPr>
        <w:t>）及其它有关规定等编写。</w:t>
      </w:r>
    </w:p>
    <w:p w14:paraId="1D176A93">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ascii="Times New Roman" w:hAnsi="Times New Roman" w:cs="Times New Roman"/>
          <w:bCs/>
          <w:kern w:val="2"/>
          <w:sz w:val="24"/>
          <w:szCs w:val="20"/>
          <w:lang w:eastAsia="zh-CN" w:bidi="ar-SA"/>
        </w:rPr>
        <w:t>基金管理人承诺本招募说明书不存在任何虚假记载、误导性陈述或者重大遗漏</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14:paraId="31494AE4">
      <w:pPr>
        <w:autoSpaceDE/>
        <w:autoSpaceDN/>
        <w:spacing w:line="360" w:lineRule="auto"/>
        <w:ind w:firstLine="480" w:firstLineChars="200"/>
        <w:jc w:val="both"/>
        <w:rPr>
          <w:rFonts w:ascii="Times New Roman" w:hAnsi="Times New Roman" w:cs="Times New Roman"/>
          <w:bCs/>
          <w:kern w:val="2"/>
          <w:sz w:val="24"/>
          <w:szCs w:val="20"/>
          <w:lang w:eastAsia="zh-CN" w:bidi="ar-SA"/>
        </w:rPr>
      </w:pPr>
      <w:r>
        <w:rPr>
          <w:rFonts w:ascii="Times New Roman" w:hAnsi="Times New Roman" w:cs="Times New Roman"/>
          <w:bCs/>
          <w:kern w:val="2"/>
          <w:sz w:val="24"/>
          <w:szCs w:val="20"/>
          <w:lang w:eastAsia="zh-CN" w:bidi="ar-SA"/>
        </w:rPr>
        <w:t>本招募说明书根据本基金的基金合同编写，并经中国证监会注册。基金合同是约定基金</w:t>
      </w:r>
      <w:r>
        <w:rPr>
          <w:rFonts w:hint="eastAsia" w:ascii="Times New Roman" w:hAnsi="Times New Roman" w:cs="Times New Roman"/>
          <w:bCs/>
          <w:kern w:val="2"/>
          <w:sz w:val="24"/>
          <w:szCs w:val="20"/>
          <w:lang w:eastAsia="zh-CN" w:bidi="ar-SA"/>
        </w:rPr>
        <w:t>合同</w:t>
      </w:r>
      <w:r>
        <w:rPr>
          <w:rFonts w:ascii="Times New Roman" w:hAnsi="Times New Roman" w:cs="Times New Roman"/>
          <w:bCs/>
          <w:kern w:val="2"/>
          <w:sz w:val="24"/>
          <w:szCs w:val="20"/>
          <w:lang w:eastAsia="zh-CN" w:bidi="ar-SA"/>
        </w:rPr>
        <w:t>当事人之间权利</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义务的法律文件。基金投资者</w:t>
      </w:r>
      <w:r>
        <w:rPr>
          <w:rFonts w:hint="eastAsia" w:ascii="Times New Roman" w:hAnsi="Times New Roman" w:cs="Times New Roman"/>
          <w:bCs/>
          <w:kern w:val="2"/>
          <w:sz w:val="24"/>
          <w:szCs w:val="20"/>
          <w:lang w:eastAsia="zh-CN" w:bidi="ar-SA"/>
        </w:rPr>
        <w:t>自</w:t>
      </w:r>
      <w:r>
        <w:rPr>
          <w:rFonts w:ascii="Times New Roman" w:hAnsi="Times New Roman" w:cs="Times New Roman"/>
          <w:bCs/>
          <w:kern w:val="2"/>
          <w:sz w:val="24"/>
          <w:szCs w:val="20"/>
          <w:lang w:eastAsia="zh-CN" w:bidi="ar-SA"/>
        </w:rPr>
        <w:t>依基金合同取得基金份额，即成为基金份额持有人和基金合同的当事人，其持有基金份额的行为本身即表明其对基金合同的承认和接受，并按照《基金法》、基金合同及其他有关规定享有权利、承担义务。基金投资者欲了解基金份额持有人的权利和义务，应详细查阅基金合同。</w:t>
      </w:r>
    </w:p>
    <w:p w14:paraId="5E0DAAE0">
      <w:pPr>
        <w:pStyle w:val="2"/>
        <w:keepNext/>
        <w:keepLines/>
        <w:autoSpaceDE/>
        <w:autoSpaceDN/>
        <w:spacing w:before="0" w:line="360" w:lineRule="auto"/>
        <w:ind w:left="0"/>
        <w:jc w:val="center"/>
        <w:rPr>
          <w:sz w:val="21"/>
          <w:szCs w:val="21"/>
          <w:lang w:eastAsia="zh-CN"/>
        </w:rPr>
      </w:pPr>
      <w:r>
        <w:rPr>
          <w:lang w:eastAsia="zh-CN"/>
        </w:rPr>
        <w:br w:type="page"/>
      </w:r>
      <w:bookmarkStart w:id="19" w:name="_bookmark1"/>
      <w:bookmarkEnd w:id="19"/>
      <w:bookmarkStart w:id="20" w:name="_Toc69831240"/>
      <w:r>
        <w:rPr>
          <w:rFonts w:hint="eastAsia" w:ascii="Times New Roman" w:hAnsi="Times New Roman" w:cs="Times New Roman"/>
          <w:b/>
          <w:color w:val="000000"/>
          <w:szCs w:val="20"/>
          <w:lang w:eastAsia="zh-CN" w:bidi="ar-SA"/>
        </w:rPr>
        <w:t xml:space="preserve">第二部分  </w:t>
      </w:r>
      <w:r>
        <w:rPr>
          <w:rFonts w:ascii="Times New Roman" w:hAnsi="Times New Roman" w:cs="Times New Roman"/>
          <w:b/>
          <w:color w:val="000000"/>
          <w:szCs w:val="20"/>
          <w:lang w:eastAsia="zh-CN" w:bidi="ar-SA"/>
        </w:rPr>
        <w:t>释义</w:t>
      </w:r>
      <w:bookmarkEnd w:id="20"/>
    </w:p>
    <w:p w14:paraId="50B3DE61">
      <w:pPr>
        <w:spacing w:line="360" w:lineRule="auto"/>
        <w:ind w:firstLine="480" w:firstLineChars="200"/>
        <w:rPr>
          <w:bCs/>
          <w:sz w:val="24"/>
          <w:lang w:eastAsia="zh-CN"/>
        </w:rPr>
      </w:pPr>
    </w:p>
    <w:p w14:paraId="6905A57D">
      <w:pPr>
        <w:autoSpaceDE/>
        <w:autoSpaceDN/>
        <w:spacing w:line="360" w:lineRule="auto"/>
        <w:ind w:firstLine="480" w:firstLineChars="200"/>
        <w:jc w:val="both"/>
        <w:rPr>
          <w:rFonts w:ascii="Times New Roman" w:hAnsi="Times New Roman" w:cs="Times New Roman"/>
          <w:bCs/>
          <w:kern w:val="2"/>
          <w:sz w:val="24"/>
          <w:szCs w:val="20"/>
          <w:lang w:eastAsia="zh-CN" w:bidi="ar-SA"/>
        </w:rPr>
      </w:pPr>
      <w:bookmarkStart w:id="21" w:name="_Hlk88056252"/>
      <w:r>
        <w:rPr>
          <w:rFonts w:hint="eastAsia" w:ascii="Times New Roman" w:hAnsi="Times New Roman" w:cs="Times New Roman"/>
          <w:bCs/>
          <w:kern w:val="2"/>
          <w:sz w:val="24"/>
          <w:szCs w:val="20"/>
          <w:lang w:eastAsia="zh-CN" w:bidi="ar-SA"/>
        </w:rPr>
        <w:t>在</w:t>
      </w:r>
      <w:r>
        <w:rPr>
          <w:rFonts w:ascii="Times New Roman" w:hAnsi="Times New Roman" w:cs="Times New Roman"/>
          <w:bCs/>
          <w:kern w:val="2"/>
          <w:sz w:val="24"/>
          <w:szCs w:val="20"/>
          <w:lang w:eastAsia="zh-CN" w:bidi="ar-SA"/>
        </w:rPr>
        <w:t>本招募说明书中</w:t>
      </w:r>
      <w:r>
        <w:rPr>
          <w:rFonts w:hint="eastAsia" w:ascii="Times New Roman" w:hAnsi="Times New Roman" w:cs="Times New Roman"/>
          <w:bCs/>
          <w:kern w:val="2"/>
          <w:sz w:val="24"/>
          <w:szCs w:val="20"/>
          <w:lang w:eastAsia="zh-CN" w:bidi="ar-SA"/>
        </w:rPr>
        <w:t>，</w:t>
      </w:r>
      <w:r>
        <w:rPr>
          <w:rFonts w:ascii="Times New Roman" w:hAnsi="Times New Roman" w:cs="Times New Roman"/>
          <w:bCs/>
          <w:kern w:val="2"/>
          <w:sz w:val="24"/>
          <w:szCs w:val="20"/>
          <w:lang w:eastAsia="zh-CN" w:bidi="ar-SA"/>
        </w:rPr>
        <w:t>除非文意另有所指，下列词语</w:t>
      </w:r>
      <w:r>
        <w:rPr>
          <w:rFonts w:hint="eastAsia" w:ascii="Times New Roman" w:hAnsi="Times New Roman" w:cs="Times New Roman"/>
          <w:bCs/>
          <w:kern w:val="2"/>
          <w:sz w:val="24"/>
          <w:szCs w:val="20"/>
          <w:lang w:eastAsia="zh-CN" w:bidi="ar-SA"/>
        </w:rPr>
        <w:t>或简称具</w:t>
      </w:r>
      <w:r>
        <w:rPr>
          <w:rFonts w:ascii="Times New Roman" w:hAnsi="Times New Roman" w:cs="Times New Roman"/>
          <w:bCs/>
          <w:kern w:val="2"/>
          <w:sz w:val="24"/>
          <w:szCs w:val="20"/>
          <w:lang w:eastAsia="zh-CN" w:bidi="ar-SA"/>
        </w:rPr>
        <w:t>有如下含义：</w:t>
      </w:r>
    </w:p>
    <w:bookmarkEnd w:id="21"/>
    <w:p w14:paraId="42FBEB2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基金或本基金：指</w:t>
      </w:r>
      <w:r>
        <w:rPr>
          <w:rFonts w:hint="eastAsia"/>
          <w:bCs/>
          <w:color w:val="000000" w:themeColor="text1"/>
          <w:sz w:val="24"/>
          <w:lang w:eastAsia="zh-CN"/>
          <w14:textFill>
            <w14:solidFill>
              <w14:schemeClr w14:val="tx1"/>
            </w14:solidFill>
          </w14:textFill>
        </w:rPr>
        <w:t>国新国证鑫泰三个月定期开放债券型证券投资基金</w:t>
      </w:r>
    </w:p>
    <w:p w14:paraId="01FE6BF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基金管理人：指</w:t>
      </w:r>
      <w:r>
        <w:rPr>
          <w:rFonts w:hint="eastAsia"/>
          <w:bCs/>
          <w:color w:val="000000" w:themeColor="text1"/>
          <w:sz w:val="24"/>
          <w:lang w:eastAsia="zh-CN"/>
          <w14:textFill>
            <w14:solidFill>
              <w14:schemeClr w14:val="tx1"/>
            </w14:solidFill>
          </w14:textFill>
        </w:rPr>
        <w:t>国新国证基金管理有限公司</w:t>
      </w:r>
    </w:p>
    <w:p w14:paraId="687691D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基金托管人：指</w:t>
      </w:r>
      <w:r>
        <w:rPr>
          <w:rFonts w:hint="eastAsia"/>
          <w:bCs/>
          <w:color w:val="000000" w:themeColor="text1"/>
          <w:sz w:val="24"/>
          <w:lang w:eastAsia="zh-CN"/>
          <w14:textFill>
            <w14:solidFill>
              <w14:schemeClr w14:val="tx1"/>
            </w14:solidFill>
          </w14:textFill>
        </w:rPr>
        <w:t>上海浦东发展银行股份有限公司</w:t>
      </w:r>
    </w:p>
    <w:p w14:paraId="2D902F3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基金合同：指《</w:t>
      </w:r>
      <w:r>
        <w:rPr>
          <w:rFonts w:hint="eastAsia"/>
          <w:bCs/>
          <w:color w:val="000000" w:themeColor="text1"/>
          <w:sz w:val="24"/>
          <w:lang w:eastAsia="zh-CN"/>
          <w14:textFill>
            <w14:solidFill>
              <w14:schemeClr w14:val="tx1"/>
            </w14:solidFill>
          </w14:textFill>
        </w:rPr>
        <w:t>国新国证鑫泰三个月定期开放债券型证券投资基金</w:t>
      </w:r>
      <w:r>
        <w:rPr>
          <w:bCs/>
          <w:color w:val="000000" w:themeColor="text1"/>
          <w:sz w:val="24"/>
          <w:lang w:eastAsia="zh-CN"/>
          <w14:textFill>
            <w14:solidFill>
              <w14:schemeClr w14:val="tx1"/>
            </w14:solidFill>
          </w14:textFill>
        </w:rPr>
        <w:t>基金合同》及对基金合同的任何有效修订和补充</w:t>
      </w:r>
    </w:p>
    <w:p w14:paraId="021E4EC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托管协议：指基金管理人与基金托管人就本基金签订之《</w:t>
      </w:r>
      <w:r>
        <w:rPr>
          <w:rFonts w:hint="eastAsia"/>
          <w:bCs/>
          <w:color w:val="000000" w:themeColor="text1"/>
          <w:sz w:val="24"/>
          <w:lang w:eastAsia="zh-CN"/>
          <w14:textFill>
            <w14:solidFill>
              <w14:schemeClr w14:val="tx1"/>
            </w14:solidFill>
          </w14:textFill>
        </w:rPr>
        <w:t>国新国证鑫泰三个月定期开放债券型证券投资基金</w:t>
      </w:r>
      <w:r>
        <w:rPr>
          <w:bCs/>
          <w:color w:val="000000" w:themeColor="text1"/>
          <w:sz w:val="24"/>
          <w:lang w:eastAsia="zh-CN"/>
          <w14:textFill>
            <w14:solidFill>
              <w14:schemeClr w14:val="tx1"/>
            </w14:solidFill>
          </w14:textFill>
        </w:rPr>
        <w:t>托管协议》及对该托管协议的任何有效修订和补充</w:t>
      </w:r>
    </w:p>
    <w:p w14:paraId="2E92CAF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招募说明书</w:t>
      </w:r>
      <w:r>
        <w:rPr>
          <w:rFonts w:hint="eastAsia"/>
          <w:bCs/>
          <w:color w:val="000000" w:themeColor="text1"/>
          <w:sz w:val="24"/>
          <w:lang w:eastAsia="zh-CN"/>
          <w14:textFill>
            <w14:solidFill>
              <w14:schemeClr w14:val="tx1"/>
            </w14:solidFill>
          </w14:textFill>
        </w:rPr>
        <w:t>或本招募说明书</w:t>
      </w:r>
      <w:r>
        <w:rPr>
          <w:bCs/>
          <w:color w:val="000000" w:themeColor="text1"/>
          <w:sz w:val="24"/>
          <w:lang w:eastAsia="zh-CN"/>
          <w14:textFill>
            <w14:solidFill>
              <w14:schemeClr w14:val="tx1"/>
            </w14:solidFill>
          </w14:textFill>
        </w:rPr>
        <w:t>：指《</w:t>
      </w:r>
      <w:r>
        <w:rPr>
          <w:rFonts w:hint="eastAsia"/>
          <w:bCs/>
          <w:color w:val="000000" w:themeColor="text1"/>
          <w:sz w:val="24"/>
          <w:lang w:eastAsia="zh-CN"/>
          <w14:textFill>
            <w14:solidFill>
              <w14:schemeClr w14:val="tx1"/>
            </w14:solidFill>
          </w14:textFill>
        </w:rPr>
        <w:t>国新国证鑫泰三个月定期开放债券型证券投资基金</w:t>
      </w:r>
      <w:r>
        <w:rPr>
          <w:bCs/>
          <w:color w:val="000000" w:themeColor="text1"/>
          <w:sz w:val="24"/>
          <w:lang w:eastAsia="zh-CN"/>
          <w14:textFill>
            <w14:solidFill>
              <w14:schemeClr w14:val="tx1"/>
            </w14:solidFill>
          </w14:textFill>
        </w:rPr>
        <w:t>招募说明书》及其更新</w:t>
      </w:r>
    </w:p>
    <w:p w14:paraId="4FD61CB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基金份额发售公告：指《</w:t>
      </w:r>
      <w:r>
        <w:rPr>
          <w:rFonts w:hint="eastAsia"/>
          <w:bCs/>
          <w:color w:val="000000" w:themeColor="text1"/>
          <w:sz w:val="24"/>
          <w:lang w:eastAsia="zh-CN"/>
          <w14:textFill>
            <w14:solidFill>
              <w14:schemeClr w14:val="tx1"/>
            </w14:solidFill>
          </w14:textFill>
        </w:rPr>
        <w:t>国新国证鑫泰三个月定期开放债券型证券投资基金</w:t>
      </w:r>
      <w:r>
        <w:rPr>
          <w:bCs/>
          <w:color w:val="000000" w:themeColor="text1"/>
          <w:sz w:val="24"/>
          <w:lang w:eastAsia="zh-CN"/>
          <w14:textFill>
            <w14:solidFill>
              <w14:schemeClr w14:val="tx1"/>
            </w14:solidFill>
          </w14:textFill>
        </w:rPr>
        <w:t>基金份额发售公告》</w:t>
      </w:r>
    </w:p>
    <w:p w14:paraId="3D285C5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法律法规：指中国现行有效并公布实施的法律、行政法规、规范性文件、司法解释、行政规章以及其他对基金合同当事人有约束力的决定、决议、通知等</w:t>
      </w:r>
    </w:p>
    <w:p w14:paraId="4CFC342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w:t>
      </w:r>
      <w:r>
        <w:rPr>
          <w:rFonts w:hint="eastAsia"/>
          <w:bCs/>
          <w:color w:val="000000" w:themeColor="text1"/>
          <w:sz w:val="24"/>
          <w:lang w:eastAsia="zh-CN"/>
          <w14:textFill>
            <w14:solidFill>
              <w14:schemeClr w14:val="tx1"/>
            </w14:solidFill>
          </w14:textFill>
        </w:rPr>
        <w:t>正</w:t>
      </w:r>
      <w:r>
        <w:rPr>
          <w:bCs/>
          <w:color w:val="000000" w:themeColor="text1"/>
          <w:sz w:val="24"/>
          <w:lang w:eastAsia="zh-CN"/>
          <w14:textFill>
            <w14:solidFill>
              <w14:schemeClr w14:val="tx1"/>
            </w14:solidFill>
          </w14:textFill>
        </w:rPr>
        <w:t>的《中华人民共和国证券投资基金法》及颁布机关对其不时做出的修订</w:t>
      </w:r>
    </w:p>
    <w:p w14:paraId="0BC5345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10</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《销售办法》：指中国证监会</w:t>
      </w:r>
      <w:r>
        <w:rPr>
          <w:rFonts w:hint="eastAsia"/>
          <w:bCs/>
          <w:color w:val="000000" w:themeColor="text1"/>
          <w:sz w:val="24"/>
          <w:lang w:eastAsia="zh-CN"/>
          <w14:textFill>
            <w14:solidFill>
              <w14:schemeClr w14:val="tx1"/>
            </w14:solidFill>
          </w14:textFill>
        </w:rPr>
        <w:t>2020年8月28日</w:t>
      </w:r>
      <w:r>
        <w:rPr>
          <w:bCs/>
          <w:color w:val="000000" w:themeColor="text1"/>
          <w:sz w:val="24"/>
          <w:lang w:eastAsia="zh-CN"/>
          <w14:textFill>
            <w14:solidFill>
              <w14:schemeClr w14:val="tx1"/>
            </w14:solidFill>
          </w14:textFill>
        </w:rPr>
        <w:t>颁布、同年10月1日实施的《</w:t>
      </w:r>
      <w:r>
        <w:rPr>
          <w:rFonts w:hint="eastAsia"/>
          <w:bCs/>
          <w:color w:val="000000" w:themeColor="text1"/>
          <w:sz w:val="24"/>
          <w:lang w:eastAsia="zh-CN"/>
          <w14:textFill>
            <w14:solidFill>
              <w14:schemeClr w14:val="tx1"/>
            </w14:solidFill>
          </w14:textFill>
        </w:rPr>
        <w:t>公开募集</w:t>
      </w:r>
      <w:r>
        <w:rPr>
          <w:bCs/>
          <w:color w:val="000000" w:themeColor="text1"/>
          <w:sz w:val="24"/>
          <w:lang w:eastAsia="zh-CN"/>
          <w14:textFill>
            <w14:solidFill>
              <w14:schemeClr w14:val="tx1"/>
            </w14:solidFill>
          </w14:textFill>
        </w:rPr>
        <w:t>证券投资基金销售</w:t>
      </w:r>
      <w:r>
        <w:rPr>
          <w:rFonts w:hint="eastAsia"/>
          <w:bCs/>
          <w:color w:val="000000" w:themeColor="text1"/>
          <w:sz w:val="24"/>
          <w:lang w:eastAsia="zh-CN"/>
          <w14:textFill>
            <w14:solidFill>
              <w14:schemeClr w14:val="tx1"/>
            </w14:solidFill>
          </w14:textFill>
        </w:rPr>
        <w:t>机构监督</w:t>
      </w:r>
      <w:r>
        <w:rPr>
          <w:bCs/>
          <w:color w:val="000000" w:themeColor="text1"/>
          <w:sz w:val="24"/>
          <w:lang w:eastAsia="zh-CN"/>
          <w14:textFill>
            <w14:solidFill>
              <w14:schemeClr w14:val="tx1"/>
            </w14:solidFill>
          </w14:textFill>
        </w:rPr>
        <w:t>管理办法》及颁布机关对其不时做出的修订</w:t>
      </w:r>
    </w:p>
    <w:p w14:paraId="0616577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11</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《信息披露办法》：指中国证监会2019年7月26日颁布、同年9月1日实施</w:t>
      </w:r>
      <w:r>
        <w:rPr>
          <w:rFonts w:hint="eastAsia"/>
          <w:bCs/>
          <w:color w:val="000000" w:themeColor="text1"/>
          <w:sz w:val="24"/>
          <w:lang w:eastAsia="zh-CN"/>
          <w14:textFill>
            <w14:solidFill>
              <w14:schemeClr w14:val="tx1"/>
            </w14:solidFill>
          </w14:textFill>
        </w:rPr>
        <w:t>，并经2020年3月20日中国证监会《关于修改部分证券期货规章的决定》修正</w:t>
      </w:r>
      <w:r>
        <w:rPr>
          <w:bCs/>
          <w:color w:val="000000" w:themeColor="text1"/>
          <w:sz w:val="24"/>
          <w:lang w:eastAsia="zh-CN"/>
          <w14:textFill>
            <w14:solidFill>
              <w14:schemeClr w14:val="tx1"/>
            </w14:solidFill>
          </w14:textFill>
        </w:rPr>
        <w:t>的《公开募集证券投资基金信息披露管理办法》及颁布机关对其不时做出的修订</w:t>
      </w:r>
    </w:p>
    <w:p w14:paraId="63F6BBE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12</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《运作办法》：指中国证监会20</w:t>
      </w:r>
      <w:r>
        <w:rPr>
          <w:rFonts w:hint="eastAsia"/>
          <w:bCs/>
          <w:color w:val="000000" w:themeColor="text1"/>
          <w:sz w:val="24"/>
          <w:lang w:eastAsia="zh-CN"/>
          <w14:textFill>
            <w14:solidFill>
              <w14:schemeClr w14:val="tx1"/>
            </w14:solidFill>
          </w14:textFill>
        </w:rPr>
        <w:t>14</w:t>
      </w:r>
      <w:r>
        <w:rPr>
          <w:bCs/>
          <w:color w:val="000000" w:themeColor="text1"/>
          <w:sz w:val="24"/>
          <w:lang w:eastAsia="zh-CN"/>
          <w14:textFill>
            <w14:solidFill>
              <w14:schemeClr w14:val="tx1"/>
            </w14:solidFill>
          </w14:textFill>
        </w:rPr>
        <w:t>年</w:t>
      </w:r>
      <w:r>
        <w:rPr>
          <w:rFonts w:hint="eastAsia"/>
          <w:bCs/>
          <w:color w:val="000000" w:themeColor="text1"/>
          <w:sz w:val="24"/>
          <w:lang w:eastAsia="zh-CN"/>
          <w14:textFill>
            <w14:solidFill>
              <w14:schemeClr w14:val="tx1"/>
            </w14:solidFill>
          </w14:textFill>
        </w:rPr>
        <w:t>7</w:t>
      </w:r>
      <w:r>
        <w:rPr>
          <w:bCs/>
          <w:color w:val="000000" w:themeColor="text1"/>
          <w:sz w:val="24"/>
          <w:lang w:eastAsia="zh-CN"/>
          <w14:textFill>
            <w14:solidFill>
              <w14:schemeClr w14:val="tx1"/>
            </w14:solidFill>
          </w14:textFill>
        </w:rPr>
        <w:t>月</w:t>
      </w:r>
      <w:r>
        <w:rPr>
          <w:rFonts w:hint="eastAsia"/>
          <w:bCs/>
          <w:color w:val="000000" w:themeColor="text1"/>
          <w:sz w:val="24"/>
          <w:lang w:eastAsia="zh-CN"/>
          <w14:textFill>
            <w14:solidFill>
              <w14:schemeClr w14:val="tx1"/>
            </w14:solidFill>
          </w14:textFill>
        </w:rPr>
        <w:t>7</w:t>
      </w:r>
      <w:r>
        <w:rPr>
          <w:bCs/>
          <w:color w:val="000000" w:themeColor="text1"/>
          <w:sz w:val="24"/>
          <w:lang w:eastAsia="zh-CN"/>
          <w14:textFill>
            <w14:solidFill>
              <w14:schemeClr w14:val="tx1"/>
            </w14:solidFill>
          </w14:textFill>
        </w:rPr>
        <w:t>日颁布、同年</w:t>
      </w:r>
      <w:r>
        <w:rPr>
          <w:rFonts w:hint="eastAsia"/>
          <w:bCs/>
          <w:color w:val="000000" w:themeColor="text1"/>
          <w:sz w:val="24"/>
          <w:lang w:eastAsia="zh-CN"/>
          <w14:textFill>
            <w14:solidFill>
              <w14:schemeClr w14:val="tx1"/>
            </w14:solidFill>
          </w14:textFill>
        </w:rPr>
        <w:t>8</w:t>
      </w:r>
      <w:r>
        <w:rPr>
          <w:bCs/>
          <w:color w:val="000000" w:themeColor="text1"/>
          <w:sz w:val="24"/>
          <w:lang w:eastAsia="zh-CN"/>
          <w14:textFill>
            <w14:solidFill>
              <w14:schemeClr w14:val="tx1"/>
            </w14:solidFill>
          </w14:textFill>
        </w:rPr>
        <w:t>月</w:t>
      </w:r>
      <w:r>
        <w:rPr>
          <w:rFonts w:hint="eastAsia"/>
          <w:bCs/>
          <w:color w:val="000000" w:themeColor="text1"/>
          <w:sz w:val="24"/>
          <w:lang w:eastAsia="zh-CN"/>
          <w14:textFill>
            <w14:solidFill>
              <w14:schemeClr w14:val="tx1"/>
            </w14:solidFill>
          </w14:textFill>
        </w:rPr>
        <w:t>8</w:t>
      </w:r>
      <w:r>
        <w:rPr>
          <w:bCs/>
          <w:color w:val="000000" w:themeColor="text1"/>
          <w:sz w:val="24"/>
          <w:lang w:eastAsia="zh-CN"/>
          <w14:textFill>
            <w14:solidFill>
              <w14:schemeClr w14:val="tx1"/>
            </w14:solidFill>
          </w14:textFill>
        </w:rPr>
        <w:t>日实施的《</w:t>
      </w:r>
      <w:r>
        <w:rPr>
          <w:rFonts w:hint="eastAsia"/>
          <w:bCs/>
          <w:color w:val="000000" w:themeColor="text1"/>
          <w:sz w:val="24"/>
          <w:lang w:eastAsia="zh-CN"/>
          <w14:textFill>
            <w14:solidFill>
              <w14:schemeClr w14:val="tx1"/>
            </w14:solidFill>
          </w14:textFill>
        </w:rPr>
        <w:t>公开募集</w:t>
      </w:r>
      <w:r>
        <w:rPr>
          <w:bCs/>
          <w:color w:val="000000" w:themeColor="text1"/>
          <w:sz w:val="24"/>
          <w:lang w:eastAsia="zh-CN"/>
          <w14:textFill>
            <w14:solidFill>
              <w14:schemeClr w14:val="tx1"/>
            </w14:solidFill>
          </w14:textFill>
        </w:rPr>
        <w:t>证券投资基金运作管理办法》及颁布机关对其不时做出的修订</w:t>
      </w:r>
    </w:p>
    <w:p w14:paraId="3A09F06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13、《流动性</w:t>
      </w:r>
      <w:r>
        <w:rPr>
          <w:rFonts w:hint="eastAsia"/>
          <w:bCs/>
          <w:color w:val="000000" w:themeColor="text1"/>
          <w:sz w:val="24"/>
          <w:lang w:eastAsia="zh-CN"/>
          <w14:textFill>
            <w14:solidFill>
              <w14:schemeClr w14:val="tx1"/>
            </w14:solidFill>
          </w14:textFill>
        </w:rPr>
        <w:t>风险管理</w:t>
      </w:r>
      <w:r>
        <w:rPr>
          <w:bCs/>
          <w:color w:val="000000" w:themeColor="text1"/>
          <w:sz w:val="24"/>
          <w:lang w:eastAsia="zh-CN"/>
          <w14:textFill>
            <w14:solidFill>
              <w14:schemeClr w14:val="tx1"/>
            </w14:solidFill>
          </w14:textFill>
        </w:rPr>
        <w:t>规定》：指中国证监会2017年8月31日颁布、同年10月1日实施的《公开募集开放式证券投资基金流动性风险管理规定》及颁布机关对其不时做出的修订</w:t>
      </w:r>
    </w:p>
    <w:p w14:paraId="4987EEE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中国证监会：指中国证券监督管理委员会</w:t>
      </w:r>
    </w:p>
    <w:p w14:paraId="7491A52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银行业监督管理机构：指中国人民银行和/或</w:t>
      </w:r>
      <w:r>
        <w:rPr>
          <w:rFonts w:hint="default" w:ascii="宋体" w:eastAsia="宋体"/>
          <w:bCs/>
          <w:color w:val="000000" w:themeColor="text1"/>
          <w:sz w:val="24"/>
          <w:szCs w:val="22"/>
          <w:lang w:eastAsia="zh-CN"/>
          <w14:textFill>
            <w14:solidFill>
              <w14:schemeClr w14:val="tx1"/>
            </w14:solidFill>
          </w14:textFill>
        </w:rPr>
        <w:t>国家金融监督管理总局</w:t>
      </w:r>
    </w:p>
    <w:p w14:paraId="2DB6AE4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6、</w:t>
      </w:r>
      <w:r>
        <w:rPr>
          <w:bCs/>
          <w:color w:val="000000" w:themeColor="text1"/>
          <w:sz w:val="24"/>
          <w:lang w:eastAsia="zh-CN"/>
          <w14:textFill>
            <w14:solidFill>
              <w14:schemeClr w14:val="tx1"/>
            </w14:solidFill>
          </w14:textFill>
        </w:rPr>
        <w:t>基金合同当事人：指受基金合同约束，根据基金合同享有权利并承担义务的法律主体，包括基金管理人、基金托管人和基金份额持有人</w:t>
      </w:r>
    </w:p>
    <w:p w14:paraId="1168C28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7、</w:t>
      </w:r>
      <w:r>
        <w:rPr>
          <w:bCs/>
          <w:color w:val="000000" w:themeColor="text1"/>
          <w:sz w:val="24"/>
          <w:lang w:eastAsia="zh-CN"/>
          <w14:textFill>
            <w14:solidFill>
              <w14:schemeClr w14:val="tx1"/>
            </w14:solidFill>
          </w14:textFill>
        </w:rPr>
        <w:t>个人投资者：指依据有关法律法规规定可投资于证券投资基金的自然人</w:t>
      </w:r>
    </w:p>
    <w:p w14:paraId="78A0CF8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8、</w:t>
      </w:r>
      <w:r>
        <w:rPr>
          <w:bCs/>
          <w:color w:val="000000" w:themeColor="text1"/>
          <w:sz w:val="24"/>
          <w:lang w:eastAsia="zh-CN"/>
          <w14:textFill>
            <w14:solidFill>
              <w14:schemeClr w14:val="tx1"/>
            </w14:solidFill>
          </w14:textFill>
        </w:rPr>
        <w:t>机构投资者：指依法可以投资证券投资基金的、在中华人民共和国境内合法登记并存续或经有关政府部门批准设立并存续的企业法人、事业法人、社会团体或其他组织</w:t>
      </w:r>
    </w:p>
    <w:p w14:paraId="7BA00C04">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19、合格境外机构投资者：指符合《合格境外机构投资者和人民币合格境外机构投资者境内证券期货投资管理办法》及相关法律法规规定可以投资于在中国境内依法募集的证券投资基金的中国境外的机构投资者</w:t>
      </w:r>
    </w:p>
    <w:p w14:paraId="673535C7">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20、人民币合格境外机构投资者：指按照《合格境外机构投资者和人民币合格境外机构投资者境内证券期货投资管理办法》及相关法律法规规定，运用来自境外的人民币资金进行境内证券投资的境外法人</w:t>
      </w:r>
    </w:p>
    <w:p w14:paraId="269D26C1">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21、</w:t>
      </w:r>
      <w:r>
        <w:rPr>
          <w:bCs/>
          <w:color w:val="000000" w:themeColor="text1"/>
          <w:sz w:val="24"/>
          <w:lang w:eastAsia="zh-CN"/>
          <w14:textFill>
            <w14:solidFill>
              <w14:schemeClr w14:val="tx1"/>
            </w14:solidFill>
          </w14:textFill>
        </w:rPr>
        <w:t>投资人</w:t>
      </w:r>
      <w:r>
        <w:rPr>
          <w:rFonts w:hint="eastAsia"/>
          <w:bCs/>
          <w:color w:val="000000" w:themeColor="text1"/>
          <w:sz w:val="24"/>
          <w:lang w:eastAsia="zh-CN"/>
          <w14:textFill>
            <w14:solidFill>
              <w14:schemeClr w14:val="tx1"/>
            </w14:solidFill>
          </w14:textFill>
        </w:rPr>
        <w:t>、投资者</w:t>
      </w:r>
      <w:r>
        <w:rPr>
          <w:bCs/>
          <w:color w:val="000000" w:themeColor="text1"/>
          <w:sz w:val="24"/>
          <w:lang w:eastAsia="zh-CN"/>
          <w14:textFill>
            <w14:solidFill>
              <w14:schemeClr w14:val="tx1"/>
            </w14:solidFill>
          </w14:textFill>
        </w:rPr>
        <w:t>：指个人投资者、机构投资者</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合格境外机构投资者</w:t>
      </w:r>
      <w:r>
        <w:rPr>
          <w:rFonts w:hint="eastAsia"/>
          <w:bCs/>
          <w:color w:val="000000" w:themeColor="text1"/>
          <w:sz w:val="24"/>
          <w:lang w:eastAsia="zh-CN"/>
          <w14:textFill>
            <w14:solidFill>
              <w14:schemeClr w14:val="tx1"/>
            </w14:solidFill>
          </w14:textFill>
        </w:rPr>
        <w:t>和人民币合格境外机构投资者</w:t>
      </w:r>
      <w:r>
        <w:rPr>
          <w:bCs/>
          <w:color w:val="000000" w:themeColor="text1"/>
          <w:sz w:val="24"/>
          <w:lang w:eastAsia="zh-CN"/>
          <w14:textFill>
            <w14:solidFill>
              <w14:schemeClr w14:val="tx1"/>
            </w14:solidFill>
          </w14:textFill>
        </w:rPr>
        <w:t>以及法律法规或中国证监会允许购买证券投资基金的其他投资人的合称</w:t>
      </w:r>
    </w:p>
    <w:p w14:paraId="084628F3">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22、</w:t>
      </w:r>
      <w:r>
        <w:rPr>
          <w:bCs/>
          <w:color w:val="000000" w:themeColor="text1"/>
          <w:sz w:val="24"/>
          <w:lang w:eastAsia="zh-CN"/>
          <w14:textFill>
            <w14:solidFill>
              <w14:schemeClr w14:val="tx1"/>
            </w14:solidFill>
          </w14:textFill>
        </w:rPr>
        <w:t>基金份额持有人：指依基金合同和招募说明书合法取得基金份额的投资人</w:t>
      </w:r>
    </w:p>
    <w:p w14:paraId="6C193DB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基金销售业务：指基金管理人或销售机构宣传推介基金，发售基金份额，办理基金份额的申购、赎回、转换、转托管等业务</w:t>
      </w:r>
    </w:p>
    <w:p w14:paraId="7BBACF6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销售机构：指</w:t>
      </w:r>
      <w:r>
        <w:rPr>
          <w:rFonts w:hint="eastAsia"/>
          <w:bCs/>
          <w:color w:val="000000" w:themeColor="text1"/>
          <w:sz w:val="24"/>
          <w:lang w:eastAsia="zh-CN"/>
          <w14:textFill>
            <w14:solidFill>
              <w14:schemeClr w14:val="tx1"/>
            </w14:solidFill>
          </w14:textFill>
        </w:rPr>
        <w:t>国新国证</w:t>
      </w:r>
      <w:r>
        <w:rPr>
          <w:bCs/>
          <w:color w:val="000000" w:themeColor="text1"/>
          <w:sz w:val="24"/>
          <w:lang w:eastAsia="zh-CN"/>
          <w14:textFill>
            <w14:solidFill>
              <w14:schemeClr w14:val="tx1"/>
            </w14:solidFill>
          </w14:textFill>
        </w:rPr>
        <w:t>基金管理有限公司以及符合《销售办法》和中国证监会规定的其他条件，取得基金</w:t>
      </w:r>
      <w:r>
        <w:rPr>
          <w:rFonts w:hint="eastAsia"/>
          <w:bCs/>
          <w:color w:val="000000" w:themeColor="text1"/>
          <w:sz w:val="24"/>
          <w:lang w:eastAsia="zh-CN"/>
          <w14:textFill>
            <w14:solidFill>
              <w14:schemeClr w14:val="tx1"/>
            </w14:solidFill>
          </w14:textFill>
        </w:rPr>
        <w:t>销售</w:t>
      </w:r>
      <w:r>
        <w:rPr>
          <w:bCs/>
          <w:color w:val="000000" w:themeColor="text1"/>
          <w:sz w:val="24"/>
          <w:lang w:eastAsia="zh-CN"/>
          <w14:textFill>
            <w14:solidFill>
              <w14:schemeClr w14:val="tx1"/>
            </w14:solidFill>
          </w14:textFill>
        </w:rPr>
        <w:t>业务资格并与基金管理人签订了基金销售服务协议，办理基金销售业务的机构</w:t>
      </w:r>
    </w:p>
    <w:p w14:paraId="711FCBFA">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25、</w:t>
      </w:r>
      <w:r>
        <w:rPr>
          <w:bCs/>
          <w:color w:val="000000" w:themeColor="text1"/>
          <w:sz w:val="24"/>
          <w:lang w:eastAsia="zh-CN"/>
          <w14:textFill>
            <w14:solidFill>
              <w14:schemeClr w14:val="tx1"/>
            </w14:solidFill>
          </w14:textFill>
        </w:rPr>
        <w:t>登记业务：指基金登记、存管、过户、清算和结算业务，具体内容包括投资人基金账户的建立和管理、基金份额登记、基金销售业务的确认、清算和结算、代理发放红利、建立并保管基金份额持有人名册</w:t>
      </w:r>
      <w:r>
        <w:rPr>
          <w:rFonts w:hint="eastAsia"/>
          <w:bCs/>
          <w:color w:val="000000" w:themeColor="text1"/>
          <w:sz w:val="24"/>
          <w:lang w:eastAsia="zh-CN"/>
          <w14:textFill>
            <w14:solidFill>
              <w14:schemeClr w14:val="tx1"/>
            </w14:solidFill>
          </w14:textFill>
        </w:rPr>
        <w:t>和办理非交易过户</w:t>
      </w:r>
      <w:r>
        <w:rPr>
          <w:bCs/>
          <w:color w:val="000000" w:themeColor="text1"/>
          <w:sz w:val="24"/>
          <w:lang w:eastAsia="zh-CN"/>
          <w14:textFill>
            <w14:solidFill>
              <w14:schemeClr w14:val="tx1"/>
            </w14:solidFill>
          </w14:textFill>
        </w:rPr>
        <w:t>等</w:t>
      </w:r>
    </w:p>
    <w:p w14:paraId="5E3D9F5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6、</w:t>
      </w:r>
      <w:r>
        <w:rPr>
          <w:bCs/>
          <w:color w:val="000000" w:themeColor="text1"/>
          <w:sz w:val="24"/>
          <w:lang w:eastAsia="zh-CN"/>
          <w14:textFill>
            <w14:solidFill>
              <w14:schemeClr w14:val="tx1"/>
            </w14:solidFill>
          </w14:textFill>
        </w:rPr>
        <w:t>登记机构：指办理登记业务的机构。基金的登记机构为</w:t>
      </w:r>
      <w:r>
        <w:rPr>
          <w:rFonts w:hint="eastAsia"/>
          <w:bCs/>
          <w:color w:val="000000" w:themeColor="text1"/>
          <w:sz w:val="24"/>
          <w:lang w:eastAsia="zh-CN"/>
          <w14:textFill>
            <w14:solidFill>
              <w14:schemeClr w14:val="tx1"/>
            </w14:solidFill>
          </w14:textFill>
        </w:rPr>
        <w:t>国新国证基金管理有限公司</w:t>
      </w:r>
      <w:r>
        <w:rPr>
          <w:bCs/>
          <w:color w:val="000000" w:themeColor="text1"/>
          <w:sz w:val="24"/>
          <w:lang w:eastAsia="zh-CN"/>
          <w14:textFill>
            <w14:solidFill>
              <w14:schemeClr w14:val="tx1"/>
            </w14:solidFill>
          </w14:textFill>
        </w:rPr>
        <w:t>或接受</w:t>
      </w:r>
      <w:r>
        <w:rPr>
          <w:rFonts w:hint="eastAsia"/>
          <w:bCs/>
          <w:color w:val="000000" w:themeColor="text1"/>
          <w:sz w:val="24"/>
          <w:lang w:eastAsia="zh-CN"/>
          <w14:textFill>
            <w14:solidFill>
              <w14:schemeClr w14:val="tx1"/>
            </w14:solidFill>
          </w14:textFill>
        </w:rPr>
        <w:t>国新国证基金管理有限公司</w:t>
      </w:r>
      <w:r>
        <w:rPr>
          <w:bCs/>
          <w:color w:val="000000" w:themeColor="text1"/>
          <w:sz w:val="24"/>
          <w:lang w:eastAsia="zh-CN"/>
          <w14:textFill>
            <w14:solidFill>
              <w14:schemeClr w14:val="tx1"/>
            </w14:solidFill>
          </w14:textFill>
        </w:rPr>
        <w:t>委托代为办理登记业务的机构</w:t>
      </w:r>
    </w:p>
    <w:p w14:paraId="7F4224F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7、</w:t>
      </w:r>
      <w:r>
        <w:rPr>
          <w:bCs/>
          <w:color w:val="000000" w:themeColor="text1"/>
          <w:sz w:val="24"/>
          <w:lang w:eastAsia="zh-CN"/>
          <w14:textFill>
            <w14:solidFill>
              <w14:schemeClr w14:val="tx1"/>
            </w14:solidFill>
          </w14:textFill>
        </w:rPr>
        <w:t>基金账户：指登记机构为投资人开立的、记录其持有的、基金管理人所管理的基金份额余额及其变动情况的账户</w:t>
      </w:r>
    </w:p>
    <w:p w14:paraId="07E99B0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8、</w:t>
      </w:r>
      <w:r>
        <w:rPr>
          <w:bCs/>
          <w:color w:val="000000" w:themeColor="text1"/>
          <w:sz w:val="24"/>
          <w:lang w:eastAsia="zh-CN"/>
          <w14:textFill>
            <w14:solidFill>
              <w14:schemeClr w14:val="tx1"/>
            </w14:solidFill>
          </w14:textFill>
        </w:rPr>
        <w:t>基金交易账户：指销售机构为投资人开立的、记录投资人通过该销售机构办理认购、申购、赎回</w:t>
      </w:r>
      <w:r>
        <w:rPr>
          <w:rFonts w:hint="eastAsia"/>
          <w:bCs/>
          <w:color w:val="000000" w:themeColor="text1"/>
          <w:sz w:val="24"/>
          <w:lang w:eastAsia="zh-CN"/>
          <w14:textFill>
            <w14:solidFill>
              <w14:schemeClr w14:val="tx1"/>
            </w14:solidFill>
          </w14:textFill>
        </w:rPr>
        <w:t>、转换、转托管</w:t>
      </w:r>
      <w:r>
        <w:rPr>
          <w:bCs/>
          <w:color w:val="000000" w:themeColor="text1"/>
          <w:sz w:val="24"/>
          <w:lang w:eastAsia="zh-CN"/>
          <w14:textFill>
            <w14:solidFill>
              <w14:schemeClr w14:val="tx1"/>
            </w14:solidFill>
          </w14:textFill>
        </w:rPr>
        <w:t>等业务而引起的基金份额变动及结余情况的账户</w:t>
      </w:r>
    </w:p>
    <w:p w14:paraId="151F5F9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9、</w:t>
      </w:r>
      <w:r>
        <w:rPr>
          <w:bCs/>
          <w:color w:val="000000" w:themeColor="text1"/>
          <w:sz w:val="24"/>
          <w:lang w:eastAsia="zh-CN"/>
          <w14:textFill>
            <w14:solidFill>
              <w14:schemeClr w14:val="tx1"/>
            </w14:solidFill>
          </w14:textFill>
        </w:rPr>
        <w:t>基金合同生效日：指基金募集达到法律法规规定及基金合同规定的条件，基金管理人向中国证监会办理基金备案手续完毕，并获得中国证监会书面确认的日期</w:t>
      </w:r>
    </w:p>
    <w:p w14:paraId="5C23B08C">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30、</w:t>
      </w:r>
      <w:r>
        <w:rPr>
          <w:bCs/>
          <w:color w:val="000000" w:themeColor="text1"/>
          <w:sz w:val="24"/>
          <w:lang w:eastAsia="zh-CN"/>
          <w14:textFill>
            <w14:solidFill>
              <w14:schemeClr w14:val="tx1"/>
            </w14:solidFill>
          </w14:textFill>
        </w:rPr>
        <w:t>基金合同终止日：指基金合同规定的基金合同终止事由出现后，基金财产清算完毕，清算结果报中国证监会备案并予以公告的日期</w:t>
      </w:r>
    </w:p>
    <w:p w14:paraId="61F8D152">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31、</w:t>
      </w:r>
      <w:r>
        <w:rPr>
          <w:bCs/>
          <w:color w:val="000000" w:themeColor="text1"/>
          <w:sz w:val="24"/>
          <w:lang w:eastAsia="zh-CN"/>
          <w14:textFill>
            <w14:solidFill>
              <w14:schemeClr w14:val="tx1"/>
            </w14:solidFill>
          </w14:textFill>
        </w:rPr>
        <w:t>基金募集期：指自基金份额发售之日起至发售结束之日止的期间，最长不得超过</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个月</w:t>
      </w:r>
    </w:p>
    <w:p w14:paraId="73750D8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32、</w:t>
      </w:r>
      <w:r>
        <w:rPr>
          <w:bCs/>
          <w:color w:val="000000" w:themeColor="text1"/>
          <w:sz w:val="24"/>
          <w:lang w:eastAsia="zh-CN"/>
          <w14:textFill>
            <w14:solidFill>
              <w14:schemeClr w14:val="tx1"/>
            </w14:solidFill>
          </w14:textFill>
        </w:rPr>
        <w:t>存续期：指基金合同生效至终止之间的不定期期限</w:t>
      </w:r>
    </w:p>
    <w:p w14:paraId="033EAEF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工作日：指上海证券交易所、深圳证券交易所的正常交易日</w:t>
      </w:r>
    </w:p>
    <w:p w14:paraId="31B980F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T日：指销售机构在规定时间受理投资人申购、赎回或其他业务申请的开放日</w:t>
      </w:r>
    </w:p>
    <w:p w14:paraId="7E1BECD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T+n日：指自T日起第n个工作日（不包含T日）</w:t>
      </w:r>
    </w:p>
    <w:p w14:paraId="00770CD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36</w:t>
      </w:r>
      <w:r>
        <w:rPr>
          <w:rFonts w:hint="eastAsia"/>
          <w:bCs/>
          <w:color w:val="000000" w:themeColor="text1"/>
          <w:sz w:val="24"/>
          <w:lang w:eastAsia="zh-CN"/>
          <w14:textFill>
            <w14:solidFill>
              <w14:schemeClr w14:val="tx1"/>
            </w14:solidFill>
          </w14:textFill>
        </w:rPr>
        <w:t>、封闭期：指自《基金合同》生效之日起（包括该日）或自每一开放期结束之日次日起（包括该日）3个月的期间。本基金的第一个封闭期为自《基金合同》生效之日起（包括该日）至该日3个月后的对应日的前一日止。下一个封闭期为首个开放期结束之日次日起（</w:t>
      </w:r>
      <w:r>
        <w:rPr>
          <w:bCs/>
          <w:color w:val="000000" w:themeColor="text1"/>
          <w:sz w:val="24"/>
          <w:lang w:eastAsia="zh-CN"/>
          <w14:textFill>
            <w14:solidFill>
              <w14:schemeClr w14:val="tx1"/>
            </w14:solidFill>
          </w14:textFill>
        </w:rPr>
        <w:t>包括</w:t>
      </w:r>
      <w:r>
        <w:rPr>
          <w:rFonts w:hint="eastAsia"/>
          <w:bCs/>
          <w:color w:val="000000" w:themeColor="text1"/>
          <w:sz w:val="24"/>
          <w:lang w:eastAsia="zh-CN"/>
          <w14:textFill>
            <w14:solidFill>
              <w14:schemeClr w14:val="tx1"/>
            </w14:solidFill>
          </w14:textFill>
        </w:rPr>
        <w:t>该日</w:t>
      </w: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至该日3个月后的对应日的前一日止，以此类推。如该日历月不存在对应日期，则顺延至该日历月对应月份最后一日的下一工作日，如对应日为非工作日，则顺延至下一工作日。本基金封闭期内不办理申购与赎回业务，也不上市交易</w:t>
      </w:r>
    </w:p>
    <w:p w14:paraId="458D1AC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37</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开放期</w:t>
      </w:r>
      <w:r>
        <w:rPr>
          <w:rFonts w:hint="eastAsia"/>
          <w:bCs/>
          <w:color w:val="000000" w:themeColor="text1"/>
          <w:sz w:val="24"/>
          <w:lang w:eastAsia="zh-CN"/>
          <w14:textFill>
            <w14:solidFill>
              <w14:schemeClr w14:val="tx1"/>
            </w14:solidFill>
          </w14:textFill>
        </w:rPr>
        <w:t>：指本基金可办理投资者申购、赎回或其他业务申请的期间。每个开放期自每个封闭期结束之日后第一个工作日起（含该日）不超过二十个工作日，具体期间由基金管理人在每一开放期前依照《信息披露办法》的有关规定在规定媒介予以公告。开放期内，本基金采取开放运作模式，投资人可办理基金份额申购、赎回或其他业务，开放期未赎回的份额将自动转入下一个封闭期。如封闭期结束后在开放期内发生不可抗力或其他情形致使基金无法按时开放或需依据《基金合同》暂停申购与赎回业务的，开放期时间中止计算，在不可抗力或其他情形影响因素消除之日下一个工作日起，继续计算该开放期时间，基金管理人有权合理调整申购或赎回业务的办理期间并予以公告</w:t>
      </w:r>
    </w:p>
    <w:p w14:paraId="587D3D2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38</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开放日：指</w:t>
      </w:r>
      <w:r>
        <w:rPr>
          <w:rFonts w:hint="eastAsia"/>
          <w:bCs/>
          <w:color w:val="000000" w:themeColor="text1"/>
          <w:sz w:val="24"/>
          <w:lang w:eastAsia="zh-CN"/>
          <w14:textFill>
            <w14:solidFill>
              <w14:schemeClr w14:val="tx1"/>
            </w14:solidFill>
          </w14:textFill>
        </w:rPr>
        <w:t>在开放期内，</w:t>
      </w:r>
      <w:r>
        <w:rPr>
          <w:bCs/>
          <w:color w:val="000000" w:themeColor="text1"/>
          <w:sz w:val="24"/>
          <w:lang w:eastAsia="zh-CN"/>
          <w14:textFill>
            <w14:solidFill>
              <w14:schemeClr w14:val="tx1"/>
            </w14:solidFill>
          </w14:textFill>
        </w:rPr>
        <w:t>为投资人办理基金份额申购、赎回或其他业务的工作日</w:t>
      </w:r>
    </w:p>
    <w:p w14:paraId="0FA647B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39</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开放时间：指开放日基金接受申购、赎回或其他交易的时间段</w:t>
      </w:r>
    </w:p>
    <w:p w14:paraId="5F84E70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40</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《业务规则》：指《</w:t>
      </w:r>
      <w:r>
        <w:rPr>
          <w:rFonts w:hint="eastAsia"/>
          <w:bCs/>
          <w:color w:val="000000" w:themeColor="text1"/>
          <w:sz w:val="24"/>
          <w:lang w:eastAsia="zh-CN"/>
          <w14:textFill>
            <w14:solidFill>
              <w14:schemeClr w14:val="tx1"/>
            </w14:solidFill>
          </w14:textFill>
        </w:rPr>
        <w:t>国新国证基金管理有限公司</w:t>
      </w:r>
      <w:r>
        <w:rPr>
          <w:bCs/>
          <w:color w:val="000000" w:themeColor="text1"/>
          <w:sz w:val="24"/>
          <w:lang w:eastAsia="zh-CN"/>
          <w14:textFill>
            <w14:solidFill>
              <w14:schemeClr w14:val="tx1"/>
            </w14:solidFill>
          </w14:textFill>
        </w:rPr>
        <w:t>开放式基金业务规则》及其不时作出的修订，是规范基金管理人所管理的开放式证券投资基金登记方面的业务规则，由基金管理人和投资人共同遵守</w:t>
      </w:r>
    </w:p>
    <w:p w14:paraId="0EC3302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41</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认购：指在基金募集期内，投资人</w:t>
      </w:r>
      <w:r>
        <w:rPr>
          <w:rFonts w:hint="eastAsia"/>
          <w:bCs/>
          <w:color w:val="000000" w:themeColor="text1"/>
          <w:sz w:val="24"/>
          <w:lang w:eastAsia="zh-CN"/>
          <w14:textFill>
            <w14:solidFill>
              <w14:schemeClr w14:val="tx1"/>
            </w14:solidFill>
          </w14:textFill>
        </w:rPr>
        <w:t>根据基金合同和招募说明书的规定</w:t>
      </w:r>
      <w:r>
        <w:rPr>
          <w:bCs/>
          <w:color w:val="000000" w:themeColor="text1"/>
          <w:sz w:val="24"/>
          <w:lang w:eastAsia="zh-CN"/>
          <w14:textFill>
            <w14:solidFill>
              <w14:schemeClr w14:val="tx1"/>
            </w14:solidFill>
          </w14:textFill>
        </w:rPr>
        <w:t>申请购买基金份额的行为</w:t>
      </w:r>
    </w:p>
    <w:p w14:paraId="693E9427">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申购：指基金合同生效后的开放期内，投资人根据基金合同和招募说明书的规定申请购买基金份额的行为</w:t>
      </w:r>
    </w:p>
    <w:p w14:paraId="68C778B3">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赎回：指基金合同生效后</w:t>
      </w:r>
      <w:r>
        <w:rPr>
          <w:rFonts w:hint="eastAsia"/>
          <w:bCs/>
          <w:color w:val="000000" w:themeColor="text1"/>
          <w:sz w:val="24"/>
          <w:lang w:eastAsia="zh-CN"/>
          <w14:textFill>
            <w14:solidFill>
              <w14:schemeClr w14:val="tx1"/>
            </w14:solidFill>
          </w14:textFill>
        </w:rPr>
        <w:t>的开放期内</w:t>
      </w:r>
      <w:r>
        <w:rPr>
          <w:bCs/>
          <w:color w:val="000000" w:themeColor="text1"/>
          <w:sz w:val="24"/>
          <w:lang w:eastAsia="zh-CN"/>
          <w14:textFill>
            <w14:solidFill>
              <w14:schemeClr w14:val="tx1"/>
            </w14:solidFill>
          </w14:textFill>
        </w:rPr>
        <w:t>，基金份额持有人按基金合同</w:t>
      </w:r>
      <w:r>
        <w:rPr>
          <w:rFonts w:hint="eastAsia"/>
          <w:bCs/>
          <w:color w:val="000000" w:themeColor="text1"/>
          <w:sz w:val="24"/>
          <w:lang w:eastAsia="zh-CN"/>
          <w14:textFill>
            <w14:solidFill>
              <w14:schemeClr w14:val="tx1"/>
            </w14:solidFill>
          </w14:textFill>
        </w:rPr>
        <w:t>和招募说明书</w:t>
      </w:r>
      <w:r>
        <w:rPr>
          <w:bCs/>
          <w:color w:val="000000" w:themeColor="text1"/>
          <w:sz w:val="24"/>
          <w:lang w:eastAsia="zh-CN"/>
          <w14:textFill>
            <w14:solidFill>
              <w14:schemeClr w14:val="tx1"/>
            </w14:solidFill>
          </w14:textFill>
        </w:rPr>
        <w:t>规定的条件要求将基金份额兑换为现金的行为</w:t>
      </w:r>
    </w:p>
    <w:p w14:paraId="2451DF53">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基金转换：指基金份额持有人按照基金合同和基金管理人届时有效公告规定的条件，申请将其持有基金管理人管理的、某一基金的基金份额转换为基金管理人管理的其他基金基金份额的行为</w:t>
      </w:r>
    </w:p>
    <w:p w14:paraId="713C7D0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45</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转托管：指基金份额持有人在本基金的不同销售机构之间实施的变更所持基金份额销售机构的操作</w:t>
      </w:r>
    </w:p>
    <w:p w14:paraId="7D34309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46</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巨额赎回：指本基金</w:t>
      </w:r>
      <w:r>
        <w:rPr>
          <w:rFonts w:hint="eastAsia"/>
          <w:bCs/>
          <w:color w:val="000000" w:themeColor="text1"/>
          <w:sz w:val="24"/>
          <w:lang w:eastAsia="zh-CN"/>
          <w14:textFill>
            <w14:solidFill>
              <w14:schemeClr w14:val="tx1"/>
            </w14:solidFill>
          </w14:textFill>
        </w:rPr>
        <w:t>开放期内的</w:t>
      </w:r>
      <w:r>
        <w:rPr>
          <w:bCs/>
          <w:color w:val="000000" w:themeColor="text1"/>
          <w:sz w:val="24"/>
          <w:lang w:eastAsia="zh-CN"/>
          <w14:textFill>
            <w14:solidFill>
              <w14:schemeClr w14:val="tx1"/>
            </w14:solidFill>
          </w14:textFill>
        </w:rPr>
        <w:t>单个开放日，基金净赎回申请（赎回申请份额总数加上基金转换中转出申请份额总数后扣除申购申请份额总数及基金转换中转入申请份额总数后的余额）超过上一</w:t>
      </w:r>
      <w:r>
        <w:rPr>
          <w:rFonts w:hint="eastAsia"/>
          <w:bCs/>
          <w:color w:val="000000" w:themeColor="text1"/>
          <w:sz w:val="24"/>
          <w:lang w:eastAsia="zh-CN"/>
          <w14:textFill>
            <w14:solidFill>
              <w14:schemeClr w14:val="tx1"/>
            </w14:solidFill>
          </w14:textFill>
        </w:rPr>
        <w:t>工作</w:t>
      </w:r>
      <w:r>
        <w:rPr>
          <w:bCs/>
          <w:color w:val="000000" w:themeColor="text1"/>
          <w:sz w:val="24"/>
          <w:lang w:eastAsia="zh-CN"/>
          <w14:textFill>
            <w14:solidFill>
              <w14:schemeClr w14:val="tx1"/>
            </w14:solidFill>
          </w14:textFill>
        </w:rPr>
        <w:t>日基金总份额的20%</w:t>
      </w:r>
    </w:p>
    <w:p w14:paraId="62038AF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47</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元：指人民币元</w:t>
      </w:r>
    </w:p>
    <w:p w14:paraId="35C93C21">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8</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基金收益：指基金投资所得债券利息、买卖证券价差、银行存款利息、已实现的其他合法收入及因运用基金财产带来的成本和费用的节约</w:t>
      </w:r>
    </w:p>
    <w:p w14:paraId="48A0269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49</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基金资产总值：指基金拥有的各类有价证券、银行存款本息、基金应收申购款及其他资产的价值总和</w:t>
      </w:r>
    </w:p>
    <w:p w14:paraId="7AC0696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50</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基金资产净值：指基金资产总值减去基金负债后的价值</w:t>
      </w:r>
    </w:p>
    <w:p w14:paraId="0C1C7A3A">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基金份额净值：指计算日基金资产净值除以计算日基金份额总数</w:t>
      </w:r>
    </w:p>
    <w:p w14:paraId="7CD2608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基金资产估值：指计算评估基金资产和负债的价值，以确定基金资产净值和基金份额净值的过程</w:t>
      </w:r>
    </w:p>
    <w:p w14:paraId="78B4344F">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：指符合中国证监会</w:t>
      </w:r>
      <w:r>
        <w:rPr>
          <w:rFonts w:hint="eastAsia"/>
          <w:bCs/>
          <w:color w:val="000000" w:themeColor="text1"/>
          <w:sz w:val="24"/>
          <w:lang w:eastAsia="zh-CN"/>
          <w14:textFill>
            <w14:solidFill>
              <w14:schemeClr w14:val="tx1"/>
            </w14:solidFill>
          </w14:textFill>
        </w:rPr>
        <w:t>规定</w:t>
      </w:r>
      <w:r>
        <w:rPr>
          <w:bCs/>
          <w:color w:val="000000" w:themeColor="text1"/>
          <w:sz w:val="24"/>
          <w:lang w:eastAsia="zh-CN"/>
          <w14:textFill>
            <w14:solidFill>
              <w14:schemeClr w14:val="tx1"/>
            </w14:solidFill>
          </w14:textFill>
        </w:rPr>
        <w:t>条件的用以进行信息披露的全国性报刊</w:t>
      </w:r>
      <w:r>
        <w:rPr>
          <w:rFonts w:hint="eastAsia"/>
          <w:bCs/>
          <w:color w:val="000000" w:themeColor="text1"/>
          <w:sz w:val="24"/>
          <w:lang w:eastAsia="zh-CN"/>
          <w14:textFill>
            <w14:solidFill>
              <w14:schemeClr w14:val="tx1"/>
            </w14:solidFill>
          </w14:textFill>
        </w:rPr>
        <w:t>（以下简称规定报刊）及《信息披露办法》规定的</w:t>
      </w:r>
      <w:r>
        <w:rPr>
          <w:bCs/>
          <w:color w:val="000000" w:themeColor="text1"/>
          <w:sz w:val="24"/>
          <w:lang w:eastAsia="zh-CN"/>
          <w14:textFill>
            <w14:solidFill>
              <w14:schemeClr w14:val="tx1"/>
            </w14:solidFill>
          </w14:textFill>
        </w:rPr>
        <w:t>互联网网站</w:t>
      </w:r>
      <w:r>
        <w:rPr>
          <w:rFonts w:hint="eastAsia"/>
          <w:bCs/>
          <w:color w:val="000000" w:themeColor="text1"/>
          <w:sz w:val="24"/>
          <w:lang w:eastAsia="zh-CN"/>
          <w14:textFill>
            <w14:solidFill>
              <w14:schemeClr w14:val="tx1"/>
            </w14:solidFill>
          </w14:textFill>
        </w:rPr>
        <w:t>（以下简称规定网站）等媒介；规定网站包括基金管理人网站、基金托管人网站、中国证监会基金电子披露网站</w:t>
      </w:r>
    </w:p>
    <w:p w14:paraId="5984B737">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54、流动性受限资产：指由于法律法规、监管、合同或操作障碍等原因无法以合理价格予以变现的资产，包括但不限于到期日在10个交易日以上的逆回购与银行定期存款（含协议约定有条件提前支取的银行存款）、资产支持证券、因发行人债务违约无法进行转让或交易的债券等</w:t>
      </w:r>
    </w:p>
    <w:p w14:paraId="015423E8">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55、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7AE394FD">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5</w:t>
      </w:r>
      <w:r>
        <w:rPr>
          <w:color w:val="000000" w:themeColor="text1"/>
          <w:sz w:val="24"/>
          <w:lang w:eastAsia="zh-CN"/>
          <w14:textFill>
            <w14:solidFill>
              <w14:schemeClr w14:val="tx1"/>
            </w14:solidFill>
          </w14:textFill>
        </w:rPr>
        <w:t>6</w:t>
      </w:r>
      <w:r>
        <w:rPr>
          <w:rFonts w:hint="eastAsia"/>
          <w:color w:val="000000" w:themeColor="text1"/>
          <w:sz w:val="24"/>
          <w:lang w:eastAsia="zh-CN"/>
          <w14:textFill>
            <w14:solidFill>
              <w14:schemeClr w14:val="tx1"/>
            </w14:solidFill>
          </w14:textFill>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5869313A">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5</w:t>
      </w:r>
      <w:r>
        <w:rPr>
          <w:color w:val="000000" w:themeColor="text1"/>
          <w:sz w:val="24"/>
          <w:lang w:eastAsia="zh-CN"/>
          <w14:textFill>
            <w14:solidFill>
              <w14:schemeClr w14:val="tx1"/>
            </w14:solidFill>
          </w14:textFill>
        </w:rPr>
        <w:t>7</w:t>
      </w:r>
      <w:r>
        <w:rPr>
          <w:rFonts w:hint="eastAsia"/>
          <w:color w:val="000000" w:themeColor="text1"/>
          <w:sz w:val="24"/>
          <w:lang w:eastAsia="zh-CN"/>
          <w14:textFill>
            <w14:solidFill>
              <w14:schemeClr w14:val="tx1"/>
            </w14:solidFill>
          </w14:textFill>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2B1BC6D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58</w:t>
      </w:r>
      <w:r>
        <w:rPr>
          <w:rFonts w:hint="eastAsia"/>
          <w:bCs/>
          <w:color w:val="000000" w:themeColor="text1"/>
          <w:sz w:val="24"/>
          <w:lang w:eastAsia="zh-CN"/>
          <w14:textFill>
            <w14:solidFill>
              <w14:schemeClr w14:val="tx1"/>
            </w14:solidFill>
          </w14:textFill>
        </w:rPr>
        <w:t>、基金产品资料概要：指《国新国证鑫泰三个月定期开放债券型证券投资基金基金产品资料概要》及其更新</w:t>
      </w:r>
    </w:p>
    <w:p w14:paraId="33076235">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9</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不可抗力：指</w:t>
      </w:r>
      <w:r>
        <w:rPr>
          <w:rFonts w:hint="eastAsia"/>
          <w:bCs/>
          <w:color w:val="000000" w:themeColor="text1"/>
          <w:sz w:val="24"/>
          <w:lang w:eastAsia="zh-CN"/>
          <w14:textFill>
            <w14:solidFill>
              <w14:schemeClr w14:val="tx1"/>
            </w14:solidFill>
          </w14:textFill>
        </w:rPr>
        <w:t>基金</w:t>
      </w:r>
      <w:r>
        <w:rPr>
          <w:bCs/>
          <w:color w:val="000000" w:themeColor="text1"/>
          <w:sz w:val="24"/>
          <w:lang w:eastAsia="zh-CN"/>
          <w14:textFill>
            <w14:solidFill>
              <w14:schemeClr w14:val="tx1"/>
            </w14:solidFill>
          </w14:textFill>
        </w:rPr>
        <w:t>合同当事人不能预见、不能避免且不能克服的客观事件。</w:t>
      </w:r>
    </w:p>
    <w:p w14:paraId="3715DD1B">
      <w:pPr>
        <w:widowControl/>
        <w:autoSpaceDE/>
        <w:autoSpaceDN/>
        <w:rPr>
          <w:rFonts w:ascii="Times New Roman" w:hAnsi="Times New Roman" w:cs="Times New Roman"/>
          <w:b/>
          <w:color w:val="000000"/>
          <w:sz w:val="30"/>
          <w:szCs w:val="20"/>
          <w:lang w:eastAsia="zh-CN" w:bidi="ar-SA"/>
        </w:rPr>
      </w:pPr>
      <w:bookmarkStart w:id="22" w:name="_bookmark2"/>
      <w:bookmarkEnd w:id="22"/>
      <w:bookmarkStart w:id="23" w:name="_Toc69831241"/>
      <w:r>
        <w:rPr>
          <w:rFonts w:ascii="Times New Roman" w:hAnsi="Times New Roman" w:cs="Times New Roman"/>
          <w:b/>
          <w:color w:val="000000"/>
          <w:szCs w:val="20"/>
          <w:lang w:eastAsia="zh-CN" w:bidi="ar-SA"/>
        </w:rPr>
        <w:br w:type="page"/>
      </w:r>
    </w:p>
    <w:p w14:paraId="2F055B19">
      <w:pPr>
        <w:pStyle w:val="2"/>
        <w:keepNext/>
        <w:keepLines/>
        <w:autoSpaceDE/>
        <w:autoSpaceDN/>
        <w:spacing w:before="0" w:line="360" w:lineRule="auto"/>
        <w:ind w:left="0"/>
        <w:jc w:val="center"/>
        <w:rPr>
          <w:sz w:val="21"/>
          <w:szCs w:val="21"/>
          <w:lang w:eastAsia="zh-CN"/>
        </w:rPr>
      </w:pPr>
      <w:r>
        <w:rPr>
          <w:rFonts w:hint="eastAsia" w:ascii="Times New Roman" w:hAnsi="Times New Roman" w:cs="Times New Roman"/>
          <w:b/>
          <w:color w:val="000000"/>
          <w:szCs w:val="20"/>
          <w:lang w:eastAsia="zh-CN" w:bidi="ar-SA"/>
        </w:rPr>
        <w:t xml:space="preserve">第三部分  </w:t>
      </w:r>
      <w:r>
        <w:rPr>
          <w:rFonts w:ascii="Times New Roman" w:hAnsi="Times New Roman" w:cs="Times New Roman"/>
          <w:b/>
          <w:color w:val="000000"/>
          <w:szCs w:val="20"/>
          <w:lang w:eastAsia="zh-CN" w:bidi="ar-SA"/>
        </w:rPr>
        <w:t>基金管理人</w:t>
      </w:r>
      <w:bookmarkEnd w:id="23"/>
    </w:p>
    <w:p w14:paraId="03FBE948">
      <w:pPr>
        <w:spacing w:line="360" w:lineRule="auto"/>
        <w:ind w:firstLine="480" w:firstLineChars="200"/>
        <w:rPr>
          <w:bCs/>
          <w:sz w:val="24"/>
          <w:lang w:eastAsia="zh-CN"/>
        </w:rPr>
      </w:pPr>
    </w:p>
    <w:p w14:paraId="729EDBCD">
      <w:pPr>
        <w:spacing w:line="360" w:lineRule="auto"/>
        <w:ind w:firstLine="480" w:firstLineChars="200"/>
        <w:jc w:val="both"/>
        <w:rPr>
          <w:bCs/>
          <w:sz w:val="24"/>
          <w:lang w:eastAsia="zh-CN"/>
        </w:rPr>
      </w:pPr>
      <w:r>
        <w:rPr>
          <w:bCs/>
          <w:sz w:val="24"/>
          <w:lang w:eastAsia="zh-CN"/>
        </w:rPr>
        <w:t>一</w:t>
      </w:r>
      <w:r>
        <w:rPr>
          <w:rFonts w:hint="eastAsia"/>
          <w:bCs/>
          <w:sz w:val="24"/>
          <w:lang w:eastAsia="zh-CN"/>
        </w:rPr>
        <w:t>、</w:t>
      </w:r>
      <w:r>
        <w:rPr>
          <w:bCs/>
          <w:sz w:val="24"/>
          <w:lang w:eastAsia="zh-CN"/>
        </w:rPr>
        <w:t>基金管理人基本情况</w:t>
      </w:r>
    </w:p>
    <w:p w14:paraId="68B894D1">
      <w:pPr>
        <w:spacing w:line="360" w:lineRule="auto"/>
        <w:ind w:firstLine="480" w:firstLineChars="200"/>
        <w:jc w:val="both"/>
        <w:rPr>
          <w:bCs/>
          <w:sz w:val="24"/>
          <w:lang w:eastAsia="zh-CN"/>
        </w:rPr>
      </w:pPr>
      <w:r>
        <w:rPr>
          <w:rFonts w:hint="eastAsia"/>
          <w:bCs/>
          <w:sz w:val="24"/>
          <w:lang w:eastAsia="zh-CN"/>
        </w:rPr>
        <w:t>名称</w:t>
      </w:r>
      <w:r>
        <w:rPr>
          <w:bCs/>
          <w:sz w:val="24"/>
          <w:lang w:eastAsia="zh-CN"/>
        </w:rPr>
        <w:t>：</w:t>
      </w:r>
      <w:r>
        <w:rPr>
          <w:rFonts w:hint="eastAsia"/>
          <w:bCs/>
          <w:sz w:val="24"/>
          <w:lang w:eastAsia="zh-CN"/>
        </w:rPr>
        <w:t>国新国证</w:t>
      </w:r>
      <w:r>
        <w:rPr>
          <w:bCs/>
          <w:sz w:val="24"/>
          <w:lang w:eastAsia="zh-CN"/>
        </w:rPr>
        <w:t>基金管理有限公司</w:t>
      </w:r>
    </w:p>
    <w:p w14:paraId="6B895869">
      <w:pPr>
        <w:spacing w:line="360" w:lineRule="auto"/>
        <w:ind w:firstLine="480" w:firstLineChars="200"/>
        <w:jc w:val="both"/>
        <w:rPr>
          <w:sz w:val="24"/>
          <w:szCs w:val="24"/>
          <w:lang w:eastAsia="zh-CN"/>
        </w:rPr>
      </w:pPr>
      <w:r>
        <w:rPr>
          <w:bCs/>
          <w:sz w:val="24"/>
          <w:lang w:eastAsia="zh-CN"/>
        </w:rPr>
        <w:t>住所：</w:t>
      </w:r>
      <w:r>
        <w:rPr>
          <w:rFonts w:hint="eastAsia"/>
          <w:bCs/>
          <w:sz w:val="24"/>
          <w:lang w:eastAsia="zh-CN"/>
        </w:rPr>
        <w:t>中国（河北）自由贸易试验区雄安片区容城县雄安市民服务中心企业办公区C栋106室-00094</w:t>
      </w:r>
    </w:p>
    <w:p w14:paraId="6016D893">
      <w:pPr>
        <w:spacing w:line="360" w:lineRule="auto"/>
        <w:ind w:firstLine="480" w:firstLineChars="200"/>
        <w:jc w:val="both"/>
        <w:rPr>
          <w:bCs/>
          <w:sz w:val="24"/>
          <w:lang w:eastAsia="zh-CN"/>
        </w:rPr>
      </w:pPr>
      <w:r>
        <w:rPr>
          <w:bCs/>
          <w:sz w:val="24"/>
          <w:lang w:eastAsia="zh-CN"/>
        </w:rPr>
        <w:t>办公地址：</w:t>
      </w:r>
      <w:r>
        <w:rPr>
          <w:rFonts w:hint="eastAsia"/>
          <w:bCs/>
          <w:sz w:val="24"/>
          <w:lang w:eastAsia="zh-CN"/>
        </w:rPr>
        <w:t>北京市朝阳区朝阳门北大街18号中国人保寿险大厦11层</w:t>
      </w:r>
    </w:p>
    <w:p w14:paraId="5A79C6F7">
      <w:pPr>
        <w:spacing w:line="360" w:lineRule="auto"/>
        <w:ind w:firstLine="480" w:firstLineChars="200"/>
        <w:jc w:val="both"/>
        <w:rPr>
          <w:bCs/>
          <w:sz w:val="24"/>
          <w:lang w:eastAsia="zh-CN"/>
        </w:rPr>
      </w:pPr>
      <w:r>
        <w:rPr>
          <w:bCs/>
          <w:sz w:val="24"/>
          <w:lang w:eastAsia="zh-CN"/>
        </w:rPr>
        <w:t>法定代表人：</w:t>
      </w:r>
      <w:r>
        <w:rPr>
          <w:rFonts w:hint="eastAsia"/>
          <w:sz w:val="24"/>
          <w:szCs w:val="24"/>
          <w:lang w:val="en-US" w:eastAsia="zh-CN"/>
        </w:rPr>
        <w:t>张涵宇</w:t>
      </w:r>
    </w:p>
    <w:p w14:paraId="76F85725">
      <w:pPr>
        <w:spacing w:line="360" w:lineRule="auto"/>
        <w:ind w:firstLine="480" w:firstLineChars="200"/>
        <w:jc w:val="both"/>
        <w:rPr>
          <w:bCs/>
          <w:sz w:val="24"/>
          <w:lang w:eastAsia="zh-CN"/>
        </w:rPr>
      </w:pPr>
      <w:r>
        <w:rPr>
          <w:bCs/>
          <w:sz w:val="24"/>
          <w:lang w:eastAsia="zh-CN"/>
        </w:rPr>
        <w:t>设立日期：</w:t>
      </w:r>
      <w:r>
        <w:rPr>
          <w:rFonts w:hint="eastAsia"/>
          <w:sz w:val="24"/>
          <w:szCs w:val="24"/>
          <w:lang w:eastAsia="zh-CN"/>
        </w:rPr>
        <w:t>2019年3月1日</w:t>
      </w:r>
    </w:p>
    <w:p w14:paraId="3B1AA4A7">
      <w:pPr>
        <w:spacing w:line="360" w:lineRule="auto"/>
        <w:ind w:firstLine="480" w:firstLineChars="200"/>
        <w:jc w:val="both"/>
        <w:rPr>
          <w:bCs/>
          <w:sz w:val="24"/>
          <w:lang w:eastAsia="zh-CN"/>
        </w:rPr>
      </w:pPr>
      <w:r>
        <w:rPr>
          <w:bCs/>
          <w:sz w:val="24"/>
          <w:lang w:eastAsia="zh-CN"/>
        </w:rPr>
        <w:t>批准设立机关及批准设立文号：</w:t>
      </w:r>
      <w:r>
        <w:rPr>
          <w:rFonts w:hint="eastAsia"/>
          <w:sz w:val="24"/>
          <w:szCs w:val="24"/>
          <w:lang w:eastAsia="zh-CN"/>
        </w:rPr>
        <w:t>中国证监会证监许可[2018]2163号</w:t>
      </w:r>
    </w:p>
    <w:p w14:paraId="084D8AAA">
      <w:pPr>
        <w:spacing w:line="360" w:lineRule="auto"/>
        <w:ind w:firstLine="480" w:firstLineChars="200"/>
        <w:jc w:val="both"/>
        <w:rPr>
          <w:bCs/>
          <w:sz w:val="24"/>
          <w:lang w:eastAsia="zh-CN"/>
        </w:rPr>
      </w:pPr>
      <w:r>
        <w:rPr>
          <w:bCs/>
          <w:sz w:val="24"/>
          <w:lang w:eastAsia="zh-CN"/>
        </w:rPr>
        <w:t>组织形式：</w:t>
      </w:r>
      <w:r>
        <w:rPr>
          <w:rFonts w:hint="eastAsia"/>
          <w:sz w:val="24"/>
          <w:szCs w:val="24"/>
          <w:lang w:eastAsia="zh-CN"/>
        </w:rPr>
        <w:t>有限责任公司</w:t>
      </w:r>
    </w:p>
    <w:p w14:paraId="6763A72E">
      <w:pPr>
        <w:spacing w:line="360" w:lineRule="auto"/>
        <w:ind w:firstLine="480" w:firstLineChars="200"/>
        <w:jc w:val="both"/>
        <w:rPr>
          <w:bCs/>
          <w:sz w:val="24"/>
          <w:lang w:eastAsia="zh-CN"/>
        </w:rPr>
      </w:pPr>
      <w:r>
        <w:rPr>
          <w:bCs/>
          <w:sz w:val="24"/>
          <w:lang w:eastAsia="zh-CN"/>
        </w:rPr>
        <w:t>注册资本：</w:t>
      </w:r>
      <w:r>
        <w:rPr>
          <w:rFonts w:hint="eastAsia"/>
          <w:sz w:val="24"/>
          <w:szCs w:val="24"/>
          <w:lang w:eastAsia="zh-CN"/>
        </w:rPr>
        <w:t>人民币</w:t>
      </w:r>
      <w:r>
        <w:rPr>
          <w:rFonts w:hint="eastAsia"/>
          <w:sz w:val="24"/>
          <w:szCs w:val="24"/>
          <w:lang w:val="en-US" w:eastAsia="zh-CN"/>
        </w:rPr>
        <w:t>41</w:t>
      </w:r>
      <w:r>
        <w:rPr>
          <w:rFonts w:hint="eastAsia"/>
          <w:sz w:val="24"/>
          <w:szCs w:val="24"/>
          <w:lang w:eastAsia="zh-CN"/>
        </w:rPr>
        <w:t>0,000,000元</w:t>
      </w:r>
    </w:p>
    <w:p w14:paraId="0EF22D3E">
      <w:pPr>
        <w:spacing w:line="360" w:lineRule="auto"/>
        <w:ind w:firstLine="480" w:firstLineChars="200"/>
        <w:jc w:val="both"/>
        <w:rPr>
          <w:bCs/>
          <w:sz w:val="24"/>
          <w:lang w:eastAsia="zh-CN"/>
        </w:rPr>
      </w:pPr>
      <w:r>
        <w:rPr>
          <w:bCs/>
          <w:sz w:val="24"/>
          <w:lang w:eastAsia="zh-CN"/>
        </w:rPr>
        <w:t>存续期限：</w:t>
      </w:r>
      <w:r>
        <w:rPr>
          <w:rFonts w:hint="eastAsia"/>
          <w:sz w:val="24"/>
          <w:szCs w:val="24"/>
          <w:lang w:eastAsia="zh-CN"/>
        </w:rPr>
        <w:t>永续经营</w:t>
      </w:r>
    </w:p>
    <w:p w14:paraId="758AEF20">
      <w:pPr>
        <w:spacing w:line="360" w:lineRule="auto"/>
        <w:ind w:firstLine="480" w:firstLineChars="200"/>
        <w:jc w:val="both"/>
        <w:rPr>
          <w:bCs/>
          <w:sz w:val="24"/>
          <w:lang w:eastAsia="zh-CN"/>
        </w:rPr>
      </w:pPr>
      <w:r>
        <w:rPr>
          <w:bCs/>
          <w:sz w:val="24"/>
          <w:lang w:eastAsia="zh-CN"/>
        </w:rPr>
        <w:t>联系电话：</w:t>
      </w:r>
      <w:r>
        <w:rPr>
          <w:rFonts w:hint="eastAsia"/>
          <w:bCs/>
          <w:sz w:val="24"/>
          <w:lang w:eastAsia="zh-CN"/>
        </w:rPr>
        <w:t>010-59315659</w:t>
      </w:r>
    </w:p>
    <w:p w14:paraId="4B4701C2">
      <w:pPr>
        <w:spacing w:line="360" w:lineRule="auto"/>
        <w:ind w:firstLine="480" w:firstLineChars="200"/>
        <w:jc w:val="both"/>
        <w:rPr>
          <w:bCs/>
          <w:sz w:val="24"/>
          <w:lang w:eastAsia="zh-CN"/>
        </w:rPr>
      </w:pPr>
      <w:r>
        <w:rPr>
          <w:rFonts w:hint="eastAsia"/>
          <w:bCs/>
          <w:sz w:val="24"/>
          <w:lang w:eastAsia="zh-CN"/>
        </w:rPr>
        <w:t>联系人：李美玉</w:t>
      </w:r>
    </w:p>
    <w:p w14:paraId="3B01164A">
      <w:pPr>
        <w:spacing w:line="360" w:lineRule="auto"/>
        <w:ind w:firstLine="480" w:firstLineChars="200"/>
        <w:jc w:val="both"/>
        <w:rPr>
          <w:bCs/>
          <w:sz w:val="24"/>
          <w:lang w:eastAsia="zh-CN"/>
        </w:rPr>
      </w:pPr>
      <w:r>
        <w:rPr>
          <w:bCs/>
          <w:sz w:val="24"/>
          <w:lang w:eastAsia="zh-CN"/>
        </w:rPr>
        <w:t>股权结构：</w:t>
      </w:r>
    </w:p>
    <w:tbl>
      <w:tblPr>
        <w:tblStyle w:val="29"/>
        <w:tblW w:w="0" w:type="auto"/>
        <w:tblInd w:w="5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827"/>
        <w:gridCol w:w="3828"/>
      </w:tblGrid>
      <w:tr w14:paraId="68D1F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 w:hRule="atLeast"/>
        </w:trPr>
        <w:tc>
          <w:tcPr>
            <w:tcW w:w="3827" w:type="dxa"/>
          </w:tcPr>
          <w:p w14:paraId="4CAB1DEE">
            <w:pPr>
              <w:adjustRightInd w:val="0"/>
              <w:snapToGrid w:val="0"/>
              <w:jc w:val="center"/>
              <w:rPr>
                <w:bCs/>
                <w:sz w:val="24"/>
                <w:lang w:eastAsia="zh-CN"/>
              </w:rPr>
            </w:pPr>
            <w:r>
              <w:rPr>
                <w:bCs/>
                <w:sz w:val="24"/>
                <w:lang w:eastAsia="zh-CN"/>
              </w:rPr>
              <w:t>股东名称</w:t>
            </w:r>
          </w:p>
        </w:tc>
        <w:tc>
          <w:tcPr>
            <w:tcW w:w="3828" w:type="dxa"/>
          </w:tcPr>
          <w:p w14:paraId="65F584C4">
            <w:pPr>
              <w:adjustRightInd w:val="0"/>
              <w:snapToGrid w:val="0"/>
              <w:jc w:val="center"/>
              <w:rPr>
                <w:bCs/>
                <w:sz w:val="24"/>
                <w:lang w:eastAsia="zh-CN"/>
              </w:rPr>
            </w:pPr>
            <w:r>
              <w:rPr>
                <w:bCs/>
                <w:sz w:val="24"/>
                <w:lang w:eastAsia="zh-CN"/>
              </w:rPr>
              <w:t>出资比例</w:t>
            </w:r>
          </w:p>
        </w:tc>
      </w:tr>
      <w:tr w14:paraId="699D0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 w:hRule="atLeast"/>
        </w:trPr>
        <w:tc>
          <w:tcPr>
            <w:tcW w:w="3827" w:type="dxa"/>
            <w:vAlign w:val="top"/>
          </w:tcPr>
          <w:p w14:paraId="22EB1DD6">
            <w:pPr>
              <w:adjustRightInd w:val="0"/>
              <w:snapToGrid w:val="0"/>
              <w:rPr>
                <w:bCs/>
                <w:sz w:val="24"/>
                <w:lang w:eastAsia="zh-CN"/>
              </w:rPr>
            </w:pPr>
            <w:r>
              <w:rPr>
                <w:rFonts w:hint="eastAsia"/>
                <w:bCs/>
                <w:sz w:val="24"/>
                <w:lang w:eastAsia="zh-CN"/>
              </w:rPr>
              <w:t>国新资本有限公司</w:t>
            </w:r>
          </w:p>
        </w:tc>
        <w:tc>
          <w:tcPr>
            <w:tcW w:w="3828" w:type="dxa"/>
            <w:vAlign w:val="top"/>
          </w:tcPr>
          <w:p w14:paraId="59CA8A6B">
            <w:pPr>
              <w:adjustRightInd w:val="0"/>
              <w:snapToGrid w:val="0"/>
              <w:jc w:val="right"/>
              <w:rPr>
                <w:bCs/>
                <w:sz w:val="24"/>
                <w:lang w:eastAsia="zh-CN"/>
              </w:rPr>
            </w:pPr>
            <w:r>
              <w:rPr>
                <w:rFonts w:hint="eastAsia" w:ascii="仿宋_GB2312" w:eastAsia="仿宋_GB2312"/>
                <w:sz w:val="24"/>
                <w:szCs w:val="24"/>
              </w:rPr>
              <w:t>51.22%</w:t>
            </w:r>
          </w:p>
        </w:tc>
      </w:tr>
      <w:tr w14:paraId="7DC5E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trPr>
        <w:tc>
          <w:tcPr>
            <w:tcW w:w="3827" w:type="dxa"/>
            <w:vAlign w:val="top"/>
          </w:tcPr>
          <w:p w14:paraId="56F47D9D">
            <w:pPr>
              <w:adjustRightInd w:val="0"/>
              <w:snapToGrid w:val="0"/>
              <w:rPr>
                <w:bCs/>
                <w:sz w:val="24"/>
                <w:lang w:eastAsia="zh-CN"/>
              </w:rPr>
            </w:pPr>
            <w:r>
              <w:rPr>
                <w:rFonts w:hint="eastAsia"/>
                <w:bCs/>
                <w:sz w:val="24"/>
                <w:lang w:eastAsia="zh-CN"/>
              </w:rPr>
              <w:t>国新证券股份有限公司</w:t>
            </w:r>
          </w:p>
        </w:tc>
        <w:tc>
          <w:tcPr>
            <w:tcW w:w="3828" w:type="dxa"/>
            <w:vAlign w:val="top"/>
          </w:tcPr>
          <w:p w14:paraId="24694D1B">
            <w:pPr>
              <w:adjustRightInd w:val="0"/>
              <w:snapToGrid w:val="0"/>
              <w:jc w:val="right"/>
              <w:rPr>
                <w:bCs/>
                <w:sz w:val="24"/>
                <w:lang w:eastAsia="zh-CN"/>
              </w:rPr>
            </w:pPr>
            <w:r>
              <w:rPr>
                <w:rFonts w:hint="eastAsia" w:ascii="仿宋_GB2312" w:eastAsia="仿宋_GB2312"/>
                <w:sz w:val="24"/>
                <w:szCs w:val="24"/>
              </w:rPr>
              <w:t>48.78%</w:t>
            </w:r>
          </w:p>
        </w:tc>
      </w:tr>
    </w:tbl>
    <w:p w14:paraId="72D9EA17">
      <w:pPr>
        <w:spacing w:line="360" w:lineRule="auto"/>
        <w:ind w:firstLine="480" w:firstLineChars="200"/>
        <w:rPr>
          <w:bCs/>
          <w:sz w:val="24"/>
          <w:lang w:eastAsia="zh-CN"/>
        </w:rPr>
      </w:pPr>
    </w:p>
    <w:p w14:paraId="5352F63A">
      <w:pPr>
        <w:spacing w:line="360" w:lineRule="auto"/>
        <w:ind w:firstLine="480" w:firstLineChars="200"/>
        <w:rPr>
          <w:bCs/>
          <w:sz w:val="24"/>
          <w:lang w:eastAsia="zh-CN"/>
        </w:rPr>
      </w:pPr>
      <w:r>
        <w:rPr>
          <w:bCs/>
          <w:sz w:val="24"/>
          <w:lang w:eastAsia="zh-CN"/>
        </w:rPr>
        <w:t>二</w:t>
      </w:r>
      <w:r>
        <w:rPr>
          <w:rFonts w:hint="eastAsia"/>
          <w:bCs/>
          <w:sz w:val="24"/>
          <w:lang w:eastAsia="zh-CN"/>
        </w:rPr>
        <w:t>、基金管理人</w:t>
      </w:r>
      <w:r>
        <w:rPr>
          <w:bCs/>
          <w:sz w:val="24"/>
          <w:lang w:eastAsia="zh-CN"/>
        </w:rPr>
        <w:t>主要人员情况</w:t>
      </w:r>
    </w:p>
    <w:p w14:paraId="66F8E8D5">
      <w:pPr>
        <w:spacing w:line="360" w:lineRule="auto"/>
        <w:ind w:firstLine="480" w:firstLineChars="200"/>
        <w:jc w:val="both"/>
        <w:rPr>
          <w:bCs/>
          <w:sz w:val="24"/>
          <w:lang w:eastAsia="zh-CN"/>
        </w:rPr>
      </w:pPr>
      <w:r>
        <w:rPr>
          <w:rFonts w:hint="eastAsia"/>
          <w:bCs/>
          <w:sz w:val="24"/>
          <w:lang w:eastAsia="zh-CN"/>
        </w:rPr>
        <w:t>（一）董事会成员基本情况</w:t>
      </w:r>
    </w:p>
    <w:p w14:paraId="4E07EEA6">
      <w:pPr>
        <w:spacing w:line="360" w:lineRule="auto"/>
        <w:ind w:firstLine="480" w:firstLineChars="200"/>
        <w:jc w:val="both"/>
        <w:rPr>
          <w:rFonts w:hint="eastAsia"/>
          <w:bCs/>
          <w:sz w:val="24"/>
          <w:lang w:eastAsia="zh-CN"/>
        </w:rPr>
      </w:pPr>
      <w:r>
        <w:rPr>
          <w:rFonts w:hint="eastAsia"/>
          <w:bCs/>
          <w:sz w:val="24"/>
          <w:lang w:val="en-US" w:eastAsia="zh-CN"/>
        </w:rPr>
        <w:t>公司董事会共有6名成员，其中1名董事长，1名董事，4名独立董事。</w:t>
      </w:r>
    </w:p>
    <w:p w14:paraId="6EBB4F15">
      <w:pPr>
        <w:spacing w:line="360" w:lineRule="auto"/>
        <w:ind w:firstLine="480" w:firstLineChars="200"/>
        <w:jc w:val="both"/>
        <w:rPr>
          <w:rFonts w:hint="eastAsia"/>
          <w:bCs/>
          <w:sz w:val="24"/>
          <w:lang w:val="en-US" w:eastAsia="zh-CN"/>
        </w:rPr>
      </w:pPr>
      <w:r>
        <w:rPr>
          <w:rFonts w:hint="eastAsia"/>
          <w:bCs/>
          <w:sz w:val="24"/>
          <w:lang w:val="en-US" w:eastAsia="zh-CN"/>
        </w:rPr>
        <w:t>张涵宇先生，董事长，法定代表人，中国社会科学院研究生院金融学专业经济学硕士。曾任职于中国人民银行营业管理部货币金银处、国家外汇管理局北京外汇管理部外汇管理处、经常项目管理处服务贸易管理科。曾任中国人民银行营业管理部跨境贸易人民币结算试点办公室业务管理科科长、营业管理部经常项目管理处副处长、营业管理部外汇综合业务处副处长、中关村国家自主创新示范区中心支行副行长、营业管理部征信管理处处长。现任国新资本有限公司党委委员、副总经理，总法律顾问、首席风险官、首席合规官，国新证券股份有限公司董事，国新国证基金管理有限公司党总支书记、董事长、法定代表人。</w:t>
      </w:r>
    </w:p>
    <w:p w14:paraId="7F989684">
      <w:pPr>
        <w:spacing w:line="360" w:lineRule="auto"/>
        <w:ind w:firstLine="480" w:firstLineChars="200"/>
        <w:jc w:val="both"/>
        <w:rPr>
          <w:rFonts w:hint="eastAsia"/>
          <w:bCs/>
          <w:sz w:val="24"/>
          <w:lang w:val="en-US" w:eastAsia="zh-CN"/>
        </w:rPr>
      </w:pPr>
      <w:bookmarkStart w:id="24" w:name="OLE_LINK2"/>
      <w:r>
        <w:rPr>
          <w:rFonts w:hint="eastAsia" w:asciiTheme="minorEastAsia" w:hAnsiTheme="minorEastAsia" w:eastAsiaTheme="minorEastAsia" w:cstheme="minorEastAsia"/>
          <w:bCs/>
          <w:sz w:val="24"/>
          <w:szCs w:val="22"/>
          <w:lang w:val="en-US" w:eastAsia="zh-CN"/>
        </w:rPr>
        <w:t>战大为女士，董事，硕士，曾在福建江夏学院（原福建金融职业技术学院）任团总支书记，在中国证监会福建监管局稽查处任五级助手、副主任科员、主任科员，在东兴证券股份有限公司任合规法律部员工、质量控制部债券托管总监（副总经理级）兼债券托管督导部（二级部）负责人、债券业务总部合规专员（副总经理级）、合规法律部投资银行业务合规管理负责人和助理总经理、东兴基金管理有限公司助理总经理，现任国新证券股份有限公司合规法律部（廉洁从业办公室）副总经理</w:t>
      </w:r>
      <w:bookmarkEnd w:id="24"/>
      <w:r>
        <w:rPr>
          <w:rFonts w:hint="eastAsia"/>
          <w:bCs/>
          <w:sz w:val="24"/>
          <w:lang w:val="en-US" w:eastAsia="zh-CN"/>
        </w:rPr>
        <w:t>。</w:t>
      </w:r>
    </w:p>
    <w:p w14:paraId="26553724">
      <w:pPr>
        <w:spacing w:line="360" w:lineRule="auto"/>
        <w:ind w:firstLine="480" w:firstLineChars="200"/>
        <w:jc w:val="both"/>
        <w:rPr>
          <w:rFonts w:hint="eastAsia"/>
          <w:bCs/>
          <w:sz w:val="24"/>
          <w:lang w:val="en-US" w:eastAsia="zh-CN"/>
        </w:rPr>
      </w:pPr>
      <w:r>
        <w:rPr>
          <w:rFonts w:hint="eastAsia"/>
          <w:bCs/>
          <w:sz w:val="24"/>
          <w:lang w:val="en-US" w:eastAsia="zh-CN"/>
        </w:rPr>
        <w:t>李军先生，独立董事，中国财政科学研究院财政学博士，历任山东兖州矿务局会计，财政部会计司会计准则组主任科员，中国证监会期货监管部副处长、处长，大连商品交易所副总经理，中国证监会会计部副主任，北京华正均略管理咨询公司顾问。现任北京华钰基金管理有限公司董事长。</w:t>
      </w:r>
    </w:p>
    <w:p w14:paraId="69AC2BF9">
      <w:pPr>
        <w:spacing w:line="360" w:lineRule="auto"/>
        <w:ind w:firstLine="480" w:firstLineChars="200"/>
        <w:jc w:val="both"/>
        <w:rPr>
          <w:rFonts w:hint="eastAsia"/>
          <w:bCs/>
          <w:sz w:val="24"/>
          <w:lang w:val="en-US" w:eastAsia="zh-CN"/>
        </w:rPr>
      </w:pPr>
      <w:r>
        <w:rPr>
          <w:rFonts w:hint="eastAsia"/>
          <w:bCs/>
          <w:sz w:val="24"/>
          <w:lang w:val="en-US" w:eastAsia="zh-CN"/>
        </w:rPr>
        <w:t>罗扬先生，独立董事，美国丹佛大学国际关系与国际经济专业硕士，历任中国人民银行国际司国际货币基金处副处级干部，国际货币基金组织中国执董办高级顾问，中国人民银行国际司国际货币基金处处长，中国人民银行驻美洲代表处首席代表，中国人民银行国际司副司长兼港澳台办公室副主任，中国人民银行上海总部国际部主任，国际货币基金组织执董会中国执董办副执行董事，中国人民银行中国反洗钱监测分析中心主任，丝路基金有限责任公司董事总经理、投委会委员、采购委员会主任委员、预算委员会委员，三峡南亚有限责任公司董事会董事、战略委员会委员、诚信合规委员会委员、审计委员会观察员、融资委员会观察员。现退休。</w:t>
      </w:r>
    </w:p>
    <w:p w14:paraId="11A760AB">
      <w:pPr>
        <w:spacing w:line="360" w:lineRule="auto"/>
        <w:ind w:firstLine="480" w:firstLineChars="200"/>
        <w:jc w:val="both"/>
        <w:rPr>
          <w:rFonts w:hint="eastAsia"/>
          <w:bCs/>
          <w:sz w:val="24"/>
          <w:lang w:val="en-US" w:eastAsia="zh-CN"/>
        </w:rPr>
      </w:pPr>
      <w:r>
        <w:rPr>
          <w:rFonts w:hint="eastAsia"/>
          <w:bCs/>
          <w:sz w:val="24"/>
          <w:lang w:val="en-US" w:eastAsia="zh-CN"/>
        </w:rPr>
        <w:t>史军先生，独立董事，清华大学工商管理硕士，历任纺织工业部政策研究室干部、财务司干部、物资局干部，中国纺织原材料公司、广州技术贸易中心经理，中国纺织物资总公司广州公司经理，中国纺织物资总公司办公室和市场信息部经理，北京兴亚图商贸公司总经理，中博实业发展总公司总经理助理、副总经理，中国纺织物资（集团）总公司副总经理，中国服装集团公司副总经理，国有重点大型企业监事会正局级专职监事。现退休。</w:t>
      </w:r>
    </w:p>
    <w:p w14:paraId="4CEC6315">
      <w:pPr>
        <w:spacing w:line="360" w:lineRule="auto"/>
        <w:ind w:firstLine="480" w:firstLineChars="200"/>
        <w:jc w:val="both"/>
        <w:rPr>
          <w:bCs/>
          <w:sz w:val="24"/>
          <w:lang w:eastAsia="zh-CN"/>
        </w:rPr>
      </w:pPr>
      <w:r>
        <w:rPr>
          <w:rFonts w:hint="eastAsia" w:ascii="宋体" w:hAnsi="宋体" w:eastAsia="宋体" w:cs="宋体"/>
          <w:sz w:val="24"/>
          <w:szCs w:val="24"/>
          <w:highlight w:val="none"/>
          <w:lang w:val="en-US" w:eastAsia="zh-CN"/>
        </w:rPr>
        <w:t>李新先生，独立董事，中国人民大学财政金融学院财政学专业经济学博士。历任北京市税务局朝阳分局助理经济师、专管员，中国社会科学院财贸所助理研究员，中山证券有限责任公司研究所所长、固定收益部总经理 副总裁，北京沃捷文化传媒股份有限公司任独立董事。现任首都经济贸易大学金融学院教授、博导，渝农商金融租赁公司独立董事。</w:t>
      </w:r>
    </w:p>
    <w:p w14:paraId="0915432A">
      <w:pPr>
        <w:spacing w:line="360" w:lineRule="auto"/>
        <w:ind w:firstLine="480" w:firstLineChars="200"/>
        <w:jc w:val="both"/>
        <w:rPr>
          <w:bCs/>
          <w:sz w:val="24"/>
          <w:lang w:eastAsia="zh-CN"/>
        </w:rPr>
      </w:pPr>
      <w:r>
        <w:rPr>
          <w:rFonts w:hint="eastAsia"/>
          <w:bCs/>
          <w:sz w:val="24"/>
          <w:lang w:eastAsia="zh-CN"/>
        </w:rPr>
        <w:t>（</w:t>
      </w:r>
      <w:r>
        <w:rPr>
          <w:rFonts w:hint="eastAsia"/>
          <w:bCs/>
          <w:sz w:val="24"/>
          <w:lang w:val="en-US" w:eastAsia="zh-CN"/>
        </w:rPr>
        <w:t>二</w:t>
      </w:r>
      <w:r>
        <w:rPr>
          <w:rFonts w:hint="eastAsia"/>
          <w:bCs/>
          <w:sz w:val="24"/>
          <w:lang w:eastAsia="zh-CN"/>
        </w:rPr>
        <w:t>）高级管理人员</w:t>
      </w:r>
    </w:p>
    <w:p w14:paraId="6418F199">
      <w:pPr>
        <w:spacing w:line="360" w:lineRule="auto"/>
        <w:ind w:firstLine="480" w:firstLineChars="200"/>
        <w:jc w:val="both"/>
        <w:rPr>
          <w:rFonts w:hint="default" w:eastAsia="宋体"/>
          <w:bCs/>
          <w:sz w:val="24"/>
          <w:lang w:val="en-US" w:eastAsia="zh-CN"/>
        </w:rPr>
      </w:pPr>
      <w:r>
        <w:rPr>
          <w:rFonts w:hint="eastAsia"/>
          <w:bCs/>
          <w:sz w:val="24"/>
          <w:lang w:eastAsia="zh-CN"/>
        </w:rPr>
        <w:t>张鹏先生，</w:t>
      </w:r>
      <w:r>
        <w:rPr>
          <w:rFonts w:hint="eastAsia"/>
          <w:bCs/>
          <w:sz w:val="24"/>
          <w:lang w:val="en-US" w:eastAsia="zh-CN"/>
        </w:rPr>
        <w:t>总经理（代履行督察长职务），</w:t>
      </w:r>
      <w:r>
        <w:rPr>
          <w:rFonts w:hint="eastAsia"/>
          <w:bCs/>
          <w:sz w:val="24"/>
          <w:lang w:eastAsia="zh-CN"/>
        </w:rPr>
        <w:t>对外经济贸易大学经济学硕士，</w:t>
      </w:r>
      <w:r>
        <w:rPr>
          <w:rFonts w:ascii="宋体" w:hAnsi="宋体" w:eastAsia="宋体" w:cs="宋体"/>
          <w:sz w:val="24"/>
          <w:szCs w:val="24"/>
        </w:rPr>
        <w:t>历任中国证监会北京监管局机构一处主任科员、银河金汇证券资产管理有限公司合规总监兼首席风险官（副总经理级）。2018年3月入职国新国证基金管理有限公司（原华融基金），历任督察长、副总经理（代履行总经理职务）</w:t>
      </w:r>
      <w:r>
        <w:rPr>
          <w:rFonts w:hint="eastAsia" w:cs="宋体"/>
          <w:sz w:val="24"/>
          <w:szCs w:val="24"/>
          <w:lang w:eastAsia="zh-CN"/>
        </w:rPr>
        <w:t>，</w:t>
      </w:r>
      <w:r>
        <w:rPr>
          <w:rFonts w:hint="eastAsia" w:cs="宋体"/>
          <w:sz w:val="24"/>
          <w:szCs w:val="24"/>
          <w:lang w:val="en-US" w:eastAsia="zh-CN"/>
        </w:rPr>
        <w:t>现任</w:t>
      </w:r>
      <w:r>
        <w:rPr>
          <w:rFonts w:hint="eastAsia"/>
          <w:bCs/>
          <w:sz w:val="24"/>
          <w:lang w:val="en-US" w:eastAsia="zh-CN"/>
        </w:rPr>
        <w:t>总经理（代履行督察长职务）。</w:t>
      </w:r>
    </w:p>
    <w:p w14:paraId="683DB0C6">
      <w:pPr>
        <w:spacing w:line="360" w:lineRule="auto"/>
        <w:ind w:firstLine="480" w:firstLineChars="200"/>
        <w:jc w:val="both"/>
        <w:rPr>
          <w:rFonts w:hint="eastAsia"/>
          <w:bCs/>
          <w:sz w:val="24"/>
          <w:lang w:eastAsia="zh-CN"/>
        </w:rPr>
      </w:pPr>
      <w:r>
        <w:rPr>
          <w:rFonts w:hint="eastAsia"/>
          <w:bCs/>
          <w:sz w:val="24"/>
          <w:lang w:eastAsia="zh-CN"/>
        </w:rPr>
        <w:t>张勋民先生，常务副总经理，武汉大学经济学硕士。历任国家开发银行湖南省分行财会处员工、副科级行员、正科级行员，国家开发银行评审三局评审五处副处长，国开证券股份有限公司(原国开证券有限责任公司)投资银行部副总经理、安徽分公司副总经理、安徽分公司总经理、专职审议委员，中国国新控股有限责任公司国新研究院资深研究员。现任国新国证基金管理有限公司常务副总经理。</w:t>
      </w:r>
    </w:p>
    <w:p w14:paraId="0F793763">
      <w:pPr>
        <w:spacing w:line="360" w:lineRule="auto"/>
        <w:ind w:firstLine="480" w:firstLineChars="200"/>
        <w:jc w:val="both"/>
        <w:rPr>
          <w:rFonts w:hint="eastAsia"/>
          <w:bCs/>
          <w:sz w:val="24"/>
          <w:lang w:eastAsia="zh-CN"/>
        </w:rPr>
      </w:pPr>
      <w:r>
        <w:rPr>
          <w:rFonts w:hint="eastAsia"/>
          <w:bCs/>
          <w:sz w:val="24"/>
          <w:lang w:eastAsia="zh-CN"/>
        </w:rPr>
        <w:t>赵天智先生，首席信息官，清华大学工学博士。历任石化盈科信息技术有限责任公司咨询顾问，毕博管理咨询（上海）有限公司咨询经理，IBM研究院资深研究员，银联智策顾问（上海）有限公司北京分公司总经理。现任国新国证基金管理有限公司首席信息官。</w:t>
      </w:r>
    </w:p>
    <w:p w14:paraId="2E685B6F">
      <w:pPr>
        <w:numPr>
          <w:ilvl w:val="-1"/>
          <w:numId w:val="0"/>
        </w:numPr>
        <w:spacing w:line="360" w:lineRule="auto"/>
        <w:ind w:firstLine="480" w:firstLineChars="200"/>
        <w:jc w:val="both"/>
        <w:rPr>
          <w:bCs/>
          <w:sz w:val="24"/>
          <w:lang w:eastAsia="zh-CN"/>
        </w:rPr>
      </w:pPr>
      <w:r>
        <w:rPr>
          <w:rFonts w:hint="eastAsia"/>
          <w:bCs/>
          <w:sz w:val="24"/>
          <w:lang w:eastAsia="zh-CN"/>
        </w:rPr>
        <w:t>（</w:t>
      </w:r>
      <w:r>
        <w:rPr>
          <w:rFonts w:hint="eastAsia"/>
          <w:bCs/>
          <w:sz w:val="24"/>
          <w:lang w:val="en-US" w:eastAsia="zh-CN"/>
        </w:rPr>
        <w:t>三</w:t>
      </w:r>
      <w:r>
        <w:rPr>
          <w:rFonts w:hint="eastAsia"/>
          <w:bCs/>
          <w:sz w:val="24"/>
          <w:lang w:eastAsia="zh-CN"/>
        </w:rPr>
        <w:t>）本基金</w:t>
      </w:r>
      <w:r>
        <w:rPr>
          <w:bCs/>
          <w:sz w:val="24"/>
          <w:lang w:eastAsia="zh-CN"/>
        </w:rPr>
        <w:t>基金经理</w:t>
      </w:r>
    </w:p>
    <w:p w14:paraId="55084452">
      <w:pPr>
        <w:numPr>
          <w:ilvl w:val="0"/>
          <w:numId w:val="0"/>
        </w:numPr>
        <w:spacing w:line="360" w:lineRule="auto"/>
        <w:ind w:firstLine="0" w:firstLineChars="0"/>
        <w:jc w:val="both"/>
        <w:rPr>
          <w:rFonts w:hint="eastAsia"/>
          <w:bCs/>
          <w:sz w:val="24"/>
          <w:lang w:eastAsia="zh-CN"/>
        </w:rPr>
      </w:pPr>
      <w:r>
        <w:rPr>
          <w:rFonts w:hint="eastAsia"/>
          <w:bCs/>
          <w:sz w:val="24"/>
          <w:lang w:val="en-US" w:eastAsia="zh-CN"/>
        </w:rPr>
        <w:t xml:space="preserve">     张蕊,天津大学管理科学与工程博士，15年证券从业经验。2022年7月加入国新国证基金管理有限公司，现任公司投资部负责人。2023年7月17日起担任国新国证鑫裕央企债六个月定期开放债券型证券投资基金、国新国证鑫泰三个月定期开放债券型证券投资基金的基金经理</w:t>
      </w:r>
      <w:r>
        <w:rPr>
          <w:rFonts w:hint="eastAsia" w:ascii="宋体" w:hAnsi="宋体" w:eastAsia="宋体" w:cs="宋体"/>
          <w:bCs/>
          <w:sz w:val="24"/>
          <w:szCs w:val="22"/>
          <w:lang w:eastAsia="zh-CN"/>
        </w:rPr>
        <w:t>，2024年6月19日起担任国新国证汇铭债券型证券投资基金的基金经理</w:t>
      </w:r>
      <w:r>
        <w:rPr>
          <w:rFonts w:hint="eastAsia" w:cs="宋体"/>
          <w:bCs/>
          <w:sz w:val="24"/>
          <w:szCs w:val="22"/>
          <w:lang w:eastAsia="zh-CN"/>
        </w:rPr>
        <w:t>，</w:t>
      </w:r>
      <w:r>
        <w:rPr>
          <w:rFonts w:hint="eastAsia"/>
          <w:bCs/>
          <w:color w:val="auto"/>
          <w:sz w:val="24"/>
          <w:lang w:eastAsia="zh-CN"/>
        </w:rPr>
        <w:t>2026年4月10日起担任国新国证融泽6个月定期开放灵活配置混合型证券投资基金的基金经理</w:t>
      </w:r>
      <w:r>
        <w:rPr>
          <w:rFonts w:hint="eastAsia"/>
          <w:bCs/>
          <w:sz w:val="24"/>
          <w:lang w:val="en-US" w:eastAsia="zh-CN"/>
        </w:rPr>
        <w:t>。曾就职于中信建投证券股份有限公司，曾任渤海证券股份有限公司债券销售交易总部业务创新主管、创新业务组组长、投资经理。</w:t>
      </w:r>
    </w:p>
    <w:p w14:paraId="092D78E5">
      <w:pPr>
        <w:spacing w:line="360" w:lineRule="auto"/>
        <w:ind w:firstLine="480" w:firstLineChars="200"/>
        <w:jc w:val="both"/>
        <w:rPr>
          <w:bCs/>
          <w:sz w:val="24"/>
          <w:lang w:eastAsia="zh-CN"/>
        </w:rPr>
      </w:pPr>
      <w:r>
        <w:rPr>
          <w:rFonts w:hint="eastAsia"/>
          <w:bCs/>
          <w:sz w:val="24"/>
          <w:lang w:eastAsia="zh-CN"/>
        </w:rPr>
        <w:t>（</w:t>
      </w:r>
      <w:r>
        <w:rPr>
          <w:rFonts w:hint="eastAsia"/>
          <w:bCs/>
          <w:sz w:val="24"/>
          <w:lang w:val="en-US" w:eastAsia="zh-CN"/>
        </w:rPr>
        <w:t>四</w:t>
      </w:r>
      <w:r>
        <w:rPr>
          <w:rFonts w:hint="eastAsia"/>
          <w:bCs/>
          <w:sz w:val="24"/>
          <w:lang w:eastAsia="zh-CN"/>
        </w:rPr>
        <w:t>）投资决策委员会成员</w:t>
      </w:r>
    </w:p>
    <w:p w14:paraId="0A9CD80C">
      <w:pPr>
        <w:spacing w:line="360" w:lineRule="auto"/>
        <w:ind w:firstLine="480" w:firstLineChars="200"/>
        <w:jc w:val="both"/>
        <w:rPr>
          <w:bCs/>
          <w:sz w:val="24"/>
          <w:lang w:eastAsia="zh-CN"/>
        </w:rPr>
      </w:pPr>
      <w:r>
        <w:rPr>
          <w:bCs/>
          <w:sz w:val="24"/>
          <w:lang w:eastAsia="zh-CN"/>
        </w:rPr>
        <w:t>公司投资决策委员会共有</w:t>
      </w:r>
      <w:r>
        <w:rPr>
          <w:rFonts w:hint="eastAsia"/>
          <w:bCs/>
          <w:sz w:val="24"/>
          <w:lang w:val="en-US" w:eastAsia="zh-CN"/>
        </w:rPr>
        <w:t>7</w:t>
      </w:r>
      <w:r>
        <w:rPr>
          <w:bCs/>
          <w:sz w:val="24"/>
          <w:lang w:eastAsia="zh-CN"/>
        </w:rPr>
        <w:t>名成员，其中1名主任委员，</w:t>
      </w:r>
      <w:r>
        <w:rPr>
          <w:rFonts w:hint="eastAsia"/>
          <w:bCs/>
          <w:sz w:val="24"/>
          <w:lang w:val="en-US" w:eastAsia="zh-CN"/>
        </w:rPr>
        <w:t>6</w:t>
      </w:r>
      <w:r>
        <w:rPr>
          <w:bCs/>
          <w:sz w:val="24"/>
          <w:lang w:eastAsia="zh-CN"/>
        </w:rPr>
        <w:t>名委员。</w:t>
      </w:r>
    </w:p>
    <w:p w14:paraId="7FA9F129">
      <w:pPr>
        <w:spacing w:line="360" w:lineRule="auto"/>
        <w:ind w:firstLine="480" w:firstLineChars="200"/>
        <w:jc w:val="both"/>
        <w:rPr>
          <w:bCs/>
          <w:sz w:val="24"/>
          <w:lang w:eastAsia="zh-CN"/>
        </w:rPr>
      </w:pPr>
      <w:r>
        <w:rPr>
          <w:rFonts w:hint="eastAsia"/>
          <w:bCs/>
          <w:sz w:val="24"/>
          <w:lang w:val="en-US" w:eastAsia="zh-CN"/>
        </w:rPr>
        <w:t>张鹏</w:t>
      </w:r>
      <w:r>
        <w:rPr>
          <w:bCs/>
          <w:sz w:val="24"/>
          <w:lang w:eastAsia="zh-CN"/>
        </w:rPr>
        <w:t>先生，主任委员，简历同前。</w:t>
      </w:r>
    </w:p>
    <w:p w14:paraId="571AFEF9">
      <w:pPr>
        <w:spacing w:line="360" w:lineRule="auto"/>
        <w:ind w:firstLine="480" w:firstLineChars="200"/>
        <w:jc w:val="both"/>
        <w:rPr>
          <w:rFonts w:hint="default"/>
          <w:bCs/>
          <w:sz w:val="24"/>
          <w:lang w:eastAsia="zh-CN"/>
        </w:rPr>
      </w:pPr>
      <w:r>
        <w:rPr>
          <w:rFonts w:hint="default"/>
          <w:bCs/>
          <w:sz w:val="24"/>
          <w:lang w:eastAsia="zh-CN"/>
        </w:rPr>
        <w:t>张勋民先生，委员，简历同前。</w:t>
      </w:r>
    </w:p>
    <w:p w14:paraId="50CD0C8F">
      <w:pPr>
        <w:spacing w:line="360" w:lineRule="auto"/>
        <w:ind w:firstLine="480" w:firstLineChars="200"/>
        <w:jc w:val="both"/>
        <w:rPr>
          <w:rFonts w:hint="eastAsia"/>
          <w:bCs/>
          <w:sz w:val="24"/>
          <w:lang w:eastAsia="zh-CN"/>
        </w:rPr>
      </w:pPr>
      <w:r>
        <w:rPr>
          <w:rFonts w:hint="default"/>
          <w:bCs/>
          <w:sz w:val="24"/>
          <w:lang w:eastAsia="zh-CN"/>
        </w:rPr>
        <w:t>张蕊女士，委员，简历同前。</w:t>
      </w:r>
    </w:p>
    <w:p w14:paraId="37B6EEA4">
      <w:pPr>
        <w:spacing w:line="360" w:lineRule="auto"/>
        <w:ind w:firstLine="480" w:firstLineChars="200"/>
        <w:jc w:val="both"/>
        <w:rPr>
          <w:rFonts w:hint="eastAsia"/>
          <w:bCs/>
          <w:sz w:val="24"/>
          <w:lang w:eastAsia="zh-CN"/>
        </w:rPr>
      </w:pPr>
      <w:r>
        <w:rPr>
          <w:rFonts w:hint="eastAsia"/>
          <w:bCs/>
          <w:sz w:val="24"/>
          <w:lang w:eastAsia="zh-CN"/>
        </w:rPr>
        <w:t>张公允先生，委员，清华大学管理学学士，曾任嘉实基金管理有限公司运营部员工、运营部副总监、运作保障部总监、估值核算部总监。现任国新国证基金管理有限公司</w:t>
      </w:r>
      <w:r>
        <w:rPr>
          <w:rFonts w:hint="eastAsia"/>
          <w:bCs/>
          <w:color w:val="auto"/>
          <w:sz w:val="24"/>
          <w:lang w:val="en-US" w:eastAsia="zh-CN"/>
        </w:rPr>
        <w:t>风险管理部（纪检工作部）负责人</w:t>
      </w:r>
      <w:r>
        <w:rPr>
          <w:rFonts w:hint="eastAsia"/>
          <w:bCs/>
          <w:sz w:val="24"/>
          <w:lang w:eastAsia="zh-CN"/>
        </w:rPr>
        <w:t>。</w:t>
      </w:r>
    </w:p>
    <w:p w14:paraId="49B20B91">
      <w:pPr>
        <w:spacing w:line="360" w:lineRule="auto"/>
        <w:ind w:firstLine="480" w:firstLineChars="200"/>
        <w:jc w:val="both"/>
        <w:rPr>
          <w:rFonts w:hint="eastAsia"/>
          <w:bCs/>
          <w:sz w:val="24"/>
          <w:lang w:eastAsia="zh-CN"/>
        </w:rPr>
      </w:pPr>
      <w:r>
        <w:rPr>
          <w:rFonts w:hint="eastAsia"/>
          <w:bCs/>
          <w:sz w:val="24"/>
          <w:lang w:eastAsia="zh-CN"/>
        </w:rPr>
        <w:t>桑劲乔先生，委员，简历同前。</w:t>
      </w:r>
    </w:p>
    <w:p w14:paraId="28E8DE02">
      <w:pPr>
        <w:spacing w:line="360" w:lineRule="auto"/>
        <w:ind w:firstLine="480" w:firstLineChars="200"/>
        <w:jc w:val="both"/>
        <w:rPr>
          <w:rFonts w:hint="eastAsia"/>
          <w:bCs/>
          <w:sz w:val="24"/>
          <w:lang w:eastAsia="zh-CN"/>
        </w:rPr>
      </w:pPr>
      <w:r>
        <w:rPr>
          <w:rFonts w:hint="eastAsia"/>
          <w:bCs/>
          <w:sz w:val="24"/>
          <w:lang w:eastAsia="zh-CN"/>
        </w:rPr>
        <w:t>张洪磊先生，委员，对外经济贸易大学金融学硕士，历任福田汽车股份有限公司董事会办公室员工、天相投资顾问有限公司汽车行业分析师、东兴证券股份有限公司研究所大机械组组长、建信基金管理有限责任公司研究部研究员、专户投资部投资经理助理、投资经理。现任国新国证新锐灵活配置混合型证券投资基金、国新国证新</w:t>
      </w:r>
      <w:r>
        <w:rPr>
          <w:rFonts w:hint="eastAsia"/>
          <w:bCs/>
          <w:sz w:val="24"/>
          <w:lang w:val="en-US" w:eastAsia="zh-CN"/>
        </w:rPr>
        <w:t>利</w:t>
      </w:r>
      <w:r>
        <w:rPr>
          <w:rFonts w:hint="eastAsia"/>
          <w:bCs/>
          <w:sz w:val="24"/>
          <w:lang w:eastAsia="zh-CN"/>
        </w:rPr>
        <w:t>灵活配置混合型证券投资基金的基金经理。</w:t>
      </w:r>
    </w:p>
    <w:p w14:paraId="636AE897">
      <w:pPr>
        <w:spacing w:line="360" w:lineRule="auto"/>
        <w:ind w:firstLine="480" w:firstLineChars="200"/>
        <w:jc w:val="both"/>
        <w:rPr>
          <w:bCs/>
          <w:sz w:val="24"/>
          <w:lang w:eastAsia="zh-CN"/>
        </w:rPr>
      </w:pPr>
      <w:r>
        <w:rPr>
          <w:rFonts w:hint="eastAsia"/>
          <w:bCs/>
          <w:sz w:val="24"/>
          <w:lang w:eastAsia="zh-CN"/>
        </w:rPr>
        <w:t>卢滢宇先生，委员，美国密歇根大学理学硕士，历任世富（北京）投资基金管理有限公司分析师、中诚信国际信用评级有限责任公司信用分析师、中信建投证券股份有限公司资产管理部信用分析师、渤海证券股份有限公司创新投资总部信评组组长、信评研究员。现任国新国证基金管理有限公司固收研究员。</w:t>
      </w:r>
    </w:p>
    <w:p w14:paraId="0C782126">
      <w:pPr>
        <w:spacing w:line="360" w:lineRule="auto"/>
        <w:ind w:firstLine="480" w:firstLineChars="200"/>
        <w:jc w:val="both"/>
        <w:rPr>
          <w:bCs/>
          <w:sz w:val="24"/>
          <w:lang w:eastAsia="zh-CN"/>
        </w:rPr>
      </w:pPr>
      <w:r>
        <w:rPr>
          <w:rFonts w:hint="eastAsia"/>
          <w:bCs/>
          <w:sz w:val="24"/>
          <w:lang w:eastAsia="zh-CN"/>
        </w:rPr>
        <w:t>（</w:t>
      </w:r>
      <w:r>
        <w:rPr>
          <w:rFonts w:hint="eastAsia"/>
          <w:bCs/>
          <w:sz w:val="24"/>
          <w:lang w:val="en-US" w:eastAsia="zh-CN"/>
        </w:rPr>
        <w:t>五</w:t>
      </w:r>
      <w:r>
        <w:rPr>
          <w:rFonts w:hint="eastAsia"/>
          <w:bCs/>
          <w:sz w:val="24"/>
          <w:lang w:eastAsia="zh-CN"/>
        </w:rPr>
        <w:t>）</w:t>
      </w:r>
      <w:r>
        <w:rPr>
          <w:bCs/>
          <w:sz w:val="24"/>
          <w:lang w:eastAsia="zh-CN"/>
        </w:rPr>
        <w:t>上述人员之间均不存在近亲属关系。</w:t>
      </w:r>
    </w:p>
    <w:p w14:paraId="565DE2DB">
      <w:pPr>
        <w:spacing w:line="360" w:lineRule="auto"/>
        <w:ind w:firstLine="480" w:firstLineChars="200"/>
        <w:jc w:val="both"/>
        <w:rPr>
          <w:bCs/>
          <w:sz w:val="24"/>
          <w:lang w:eastAsia="zh-CN"/>
        </w:rPr>
      </w:pPr>
      <w:r>
        <w:rPr>
          <w:rFonts w:hint="eastAsia"/>
          <w:bCs/>
          <w:sz w:val="24"/>
          <w:lang w:eastAsia="zh-CN"/>
        </w:rPr>
        <w:t>三、</w:t>
      </w:r>
      <w:r>
        <w:rPr>
          <w:bCs/>
          <w:sz w:val="24"/>
          <w:lang w:eastAsia="zh-CN"/>
        </w:rPr>
        <w:t>基金管理人的职责</w:t>
      </w:r>
    </w:p>
    <w:p w14:paraId="49C112AA">
      <w:pPr>
        <w:spacing w:line="360" w:lineRule="auto"/>
        <w:ind w:firstLine="480" w:firstLineChars="200"/>
        <w:jc w:val="both"/>
        <w:rPr>
          <w:bCs/>
          <w:sz w:val="24"/>
          <w:lang w:eastAsia="zh-CN"/>
        </w:rPr>
      </w:pPr>
      <w:r>
        <w:rPr>
          <w:bCs/>
          <w:sz w:val="24"/>
          <w:lang w:eastAsia="zh-CN"/>
        </w:rPr>
        <w:t>1、依法募集资金，办理基金份额的发售和登记事宜；</w:t>
      </w:r>
    </w:p>
    <w:p w14:paraId="0377628E">
      <w:pPr>
        <w:spacing w:line="360" w:lineRule="auto"/>
        <w:ind w:firstLine="480" w:firstLineChars="200"/>
        <w:jc w:val="both"/>
        <w:rPr>
          <w:bCs/>
          <w:sz w:val="24"/>
          <w:lang w:eastAsia="zh-CN"/>
        </w:rPr>
      </w:pPr>
      <w:r>
        <w:rPr>
          <w:bCs/>
          <w:sz w:val="24"/>
          <w:lang w:eastAsia="zh-CN"/>
        </w:rPr>
        <w:t>2、办理基金备案手续；</w:t>
      </w:r>
    </w:p>
    <w:p w14:paraId="60A9DB58">
      <w:pPr>
        <w:spacing w:line="360" w:lineRule="auto"/>
        <w:ind w:firstLine="480" w:firstLineChars="200"/>
        <w:jc w:val="both"/>
        <w:rPr>
          <w:bCs/>
          <w:sz w:val="24"/>
          <w:lang w:eastAsia="zh-CN"/>
        </w:rPr>
      </w:pPr>
      <w:r>
        <w:rPr>
          <w:bCs/>
          <w:sz w:val="24"/>
          <w:lang w:eastAsia="zh-CN"/>
        </w:rPr>
        <w:t>3、对所管理的不同基金财产分别管理、分别记账，进行证券投资；</w:t>
      </w:r>
    </w:p>
    <w:p w14:paraId="265E7E4B">
      <w:pPr>
        <w:spacing w:line="360" w:lineRule="auto"/>
        <w:ind w:firstLine="480" w:firstLineChars="200"/>
        <w:jc w:val="both"/>
        <w:rPr>
          <w:bCs/>
          <w:sz w:val="24"/>
          <w:lang w:eastAsia="zh-CN"/>
        </w:rPr>
      </w:pPr>
      <w:r>
        <w:rPr>
          <w:bCs/>
          <w:sz w:val="24"/>
          <w:lang w:eastAsia="zh-CN"/>
        </w:rPr>
        <w:t>4、按照基金合同的约定</w:t>
      </w:r>
      <w:r>
        <w:rPr>
          <w:rFonts w:hint="eastAsia"/>
          <w:bCs/>
          <w:sz w:val="24"/>
          <w:lang w:eastAsia="zh-CN"/>
        </w:rPr>
        <w:t>确定基金收益分配方案，</w:t>
      </w:r>
      <w:r>
        <w:rPr>
          <w:bCs/>
          <w:sz w:val="24"/>
          <w:lang w:eastAsia="zh-CN"/>
        </w:rPr>
        <w:t>及时向基金份额持有人分配收益；</w:t>
      </w:r>
    </w:p>
    <w:p w14:paraId="5DE96857">
      <w:pPr>
        <w:spacing w:line="360" w:lineRule="auto"/>
        <w:ind w:firstLine="480" w:firstLineChars="200"/>
        <w:jc w:val="both"/>
        <w:rPr>
          <w:bCs/>
          <w:sz w:val="24"/>
          <w:lang w:eastAsia="zh-CN"/>
        </w:rPr>
      </w:pPr>
      <w:r>
        <w:rPr>
          <w:bCs/>
          <w:sz w:val="24"/>
          <w:lang w:eastAsia="zh-CN"/>
        </w:rPr>
        <w:t>5、进行基金会计核算并编制基金财务会计报告；</w:t>
      </w:r>
    </w:p>
    <w:p w14:paraId="6C606310">
      <w:pPr>
        <w:spacing w:line="360" w:lineRule="auto"/>
        <w:ind w:firstLine="480" w:firstLineChars="200"/>
        <w:jc w:val="both"/>
        <w:rPr>
          <w:bCs/>
          <w:sz w:val="24"/>
          <w:lang w:eastAsia="zh-CN"/>
        </w:rPr>
      </w:pPr>
      <w:r>
        <w:rPr>
          <w:bCs/>
          <w:sz w:val="24"/>
          <w:lang w:eastAsia="zh-CN"/>
        </w:rPr>
        <w:t>6、编制季度</w:t>
      </w:r>
      <w:r>
        <w:rPr>
          <w:rFonts w:hint="eastAsia"/>
          <w:bCs/>
          <w:sz w:val="24"/>
          <w:lang w:eastAsia="zh-CN"/>
        </w:rPr>
        <w:t>报告</w:t>
      </w:r>
      <w:r>
        <w:rPr>
          <w:bCs/>
          <w:sz w:val="24"/>
          <w:lang w:eastAsia="zh-CN"/>
        </w:rPr>
        <w:t>、</w:t>
      </w:r>
      <w:r>
        <w:rPr>
          <w:rFonts w:hint="eastAsia"/>
          <w:bCs/>
          <w:sz w:val="24"/>
          <w:lang w:eastAsia="zh-CN"/>
        </w:rPr>
        <w:t>中期报告</w:t>
      </w:r>
      <w:r>
        <w:rPr>
          <w:bCs/>
          <w:sz w:val="24"/>
          <w:lang w:eastAsia="zh-CN"/>
        </w:rPr>
        <w:t>和年度报告；</w:t>
      </w:r>
    </w:p>
    <w:p w14:paraId="256FCD0D">
      <w:pPr>
        <w:spacing w:line="360" w:lineRule="auto"/>
        <w:ind w:firstLine="480" w:firstLineChars="200"/>
        <w:jc w:val="both"/>
        <w:rPr>
          <w:bCs/>
          <w:sz w:val="24"/>
          <w:lang w:eastAsia="zh-CN"/>
        </w:rPr>
      </w:pPr>
      <w:r>
        <w:rPr>
          <w:bCs/>
          <w:sz w:val="24"/>
          <w:lang w:eastAsia="zh-CN"/>
        </w:rPr>
        <w:t>7、计算并公告基金净值</w:t>
      </w:r>
      <w:r>
        <w:rPr>
          <w:rFonts w:hint="eastAsia"/>
          <w:bCs/>
          <w:sz w:val="24"/>
          <w:lang w:eastAsia="zh-CN"/>
        </w:rPr>
        <w:t>信息</w:t>
      </w:r>
      <w:r>
        <w:rPr>
          <w:bCs/>
          <w:sz w:val="24"/>
          <w:lang w:eastAsia="zh-CN"/>
        </w:rPr>
        <w:t>，确定基金份额申购、赎回价格；</w:t>
      </w:r>
    </w:p>
    <w:p w14:paraId="17BDCB0A">
      <w:pPr>
        <w:spacing w:line="360" w:lineRule="auto"/>
        <w:ind w:firstLine="480" w:firstLineChars="200"/>
        <w:jc w:val="both"/>
        <w:rPr>
          <w:bCs/>
          <w:sz w:val="24"/>
          <w:lang w:eastAsia="zh-CN"/>
        </w:rPr>
      </w:pPr>
      <w:r>
        <w:rPr>
          <w:bCs/>
          <w:sz w:val="24"/>
          <w:lang w:eastAsia="zh-CN"/>
        </w:rPr>
        <w:t>8、办理与基金财产管理业务活动有关的信息披露事项；</w:t>
      </w:r>
    </w:p>
    <w:p w14:paraId="3B4ADD40">
      <w:pPr>
        <w:spacing w:line="360" w:lineRule="auto"/>
        <w:ind w:firstLine="480" w:firstLineChars="200"/>
        <w:jc w:val="both"/>
        <w:rPr>
          <w:bCs/>
          <w:sz w:val="24"/>
          <w:lang w:eastAsia="zh-CN"/>
        </w:rPr>
      </w:pPr>
      <w:r>
        <w:rPr>
          <w:bCs/>
          <w:sz w:val="24"/>
          <w:lang w:eastAsia="zh-CN"/>
        </w:rPr>
        <w:t>9、按照规定召集基金份额持有人大会；</w:t>
      </w:r>
    </w:p>
    <w:p w14:paraId="7F8EC82A">
      <w:pPr>
        <w:spacing w:line="360" w:lineRule="auto"/>
        <w:ind w:firstLine="480" w:firstLineChars="200"/>
        <w:jc w:val="both"/>
        <w:rPr>
          <w:bCs/>
          <w:sz w:val="24"/>
          <w:lang w:eastAsia="zh-CN"/>
        </w:rPr>
      </w:pPr>
      <w:r>
        <w:rPr>
          <w:bCs/>
          <w:sz w:val="24"/>
          <w:lang w:eastAsia="zh-CN"/>
        </w:rPr>
        <w:t>10、保存基金财产管理业务活动的记录、账册、报表和其他相关资料；</w:t>
      </w:r>
    </w:p>
    <w:p w14:paraId="1ABAE879">
      <w:pPr>
        <w:spacing w:line="360" w:lineRule="auto"/>
        <w:ind w:firstLine="480" w:firstLineChars="200"/>
        <w:jc w:val="both"/>
        <w:rPr>
          <w:bCs/>
          <w:sz w:val="24"/>
          <w:lang w:eastAsia="zh-CN"/>
        </w:rPr>
      </w:pPr>
      <w:r>
        <w:rPr>
          <w:bCs/>
          <w:sz w:val="24"/>
          <w:lang w:eastAsia="zh-CN"/>
        </w:rPr>
        <w:t>11、以基金管理人名义，代表基金份额持有人利益行使诉讼权利或者实施其他法律行为；</w:t>
      </w:r>
    </w:p>
    <w:p w14:paraId="79C702DF">
      <w:pPr>
        <w:spacing w:line="360" w:lineRule="auto"/>
        <w:ind w:firstLine="480" w:firstLineChars="200"/>
        <w:jc w:val="both"/>
        <w:rPr>
          <w:bCs/>
          <w:sz w:val="24"/>
          <w:lang w:eastAsia="zh-CN"/>
        </w:rPr>
      </w:pPr>
      <w:r>
        <w:rPr>
          <w:bCs/>
          <w:sz w:val="24"/>
          <w:lang w:eastAsia="zh-CN"/>
        </w:rPr>
        <w:t>12、中国证监会规定的其他职责。</w:t>
      </w:r>
    </w:p>
    <w:p w14:paraId="2E2E3799">
      <w:pPr>
        <w:spacing w:line="360" w:lineRule="auto"/>
        <w:ind w:firstLine="480" w:firstLineChars="200"/>
        <w:jc w:val="both"/>
        <w:rPr>
          <w:bCs/>
          <w:sz w:val="24"/>
          <w:lang w:eastAsia="zh-CN"/>
        </w:rPr>
      </w:pPr>
      <w:r>
        <w:rPr>
          <w:bCs/>
          <w:sz w:val="24"/>
          <w:lang w:eastAsia="zh-CN"/>
        </w:rPr>
        <w:t>四</w:t>
      </w:r>
      <w:r>
        <w:rPr>
          <w:rFonts w:hint="eastAsia"/>
          <w:bCs/>
          <w:sz w:val="24"/>
          <w:lang w:eastAsia="zh-CN"/>
        </w:rPr>
        <w:t>、</w:t>
      </w:r>
      <w:r>
        <w:rPr>
          <w:bCs/>
          <w:sz w:val="24"/>
          <w:lang w:eastAsia="zh-CN"/>
        </w:rPr>
        <w:t>基金管理人的承诺</w:t>
      </w:r>
    </w:p>
    <w:p w14:paraId="2F08F805">
      <w:pPr>
        <w:spacing w:line="360" w:lineRule="auto"/>
        <w:ind w:firstLine="480" w:firstLineChars="200"/>
        <w:jc w:val="both"/>
        <w:rPr>
          <w:bCs/>
          <w:sz w:val="24"/>
          <w:lang w:eastAsia="zh-CN"/>
        </w:rPr>
      </w:pPr>
      <w:r>
        <w:rPr>
          <w:bCs/>
          <w:sz w:val="24"/>
          <w:lang w:eastAsia="zh-CN"/>
        </w:rPr>
        <w:t>1、本基金管理人承诺严格遵守现行有效的相关法律、法规、规章、基金合同和中国证监会的有关规定，建立健全内部控制制度，采取有效措施，防止违反现行有效的有关法律、法规、规章、基金合同和中国证监会有关规定的行为发生。</w:t>
      </w:r>
    </w:p>
    <w:p w14:paraId="62E15A79">
      <w:pPr>
        <w:spacing w:line="360" w:lineRule="auto"/>
        <w:ind w:firstLine="480" w:firstLineChars="200"/>
        <w:jc w:val="both"/>
        <w:rPr>
          <w:bCs/>
          <w:sz w:val="24"/>
          <w:lang w:eastAsia="zh-CN"/>
        </w:rPr>
      </w:pPr>
      <w:r>
        <w:rPr>
          <w:bCs/>
          <w:sz w:val="24"/>
          <w:lang w:eastAsia="zh-CN"/>
        </w:rPr>
        <w:t>2、本基金管理人承诺严格遵守《</w:t>
      </w:r>
      <w:r>
        <w:rPr>
          <w:rFonts w:hint="eastAsia"/>
          <w:bCs/>
          <w:sz w:val="24"/>
          <w:lang w:eastAsia="zh-CN"/>
        </w:rPr>
        <w:t>中华人民共和国</w:t>
      </w:r>
      <w:r>
        <w:rPr>
          <w:bCs/>
          <w:sz w:val="24"/>
          <w:lang w:eastAsia="zh-CN"/>
        </w:rPr>
        <w:t>证券法》、《基金法》及有关法律法规，建立健全内部控制制度，采取有效措施，防止下列行为发生：</w:t>
      </w:r>
    </w:p>
    <w:p w14:paraId="0AB07786">
      <w:pPr>
        <w:spacing w:line="360" w:lineRule="auto"/>
        <w:ind w:firstLine="480" w:firstLineChars="200"/>
        <w:jc w:val="both"/>
        <w:rPr>
          <w:bCs/>
          <w:sz w:val="24"/>
          <w:lang w:eastAsia="zh-CN"/>
        </w:rPr>
      </w:pPr>
      <w:r>
        <w:rPr>
          <w:rFonts w:hint="eastAsia"/>
          <w:bCs/>
          <w:sz w:val="24"/>
          <w:lang w:eastAsia="zh-CN"/>
        </w:rPr>
        <w:t>（1）</w:t>
      </w:r>
      <w:r>
        <w:rPr>
          <w:bCs/>
          <w:sz w:val="24"/>
          <w:lang w:eastAsia="zh-CN"/>
        </w:rPr>
        <w:t>将其固有财产或者他人财产混同于基金财产从事证券投资；</w:t>
      </w:r>
    </w:p>
    <w:p w14:paraId="386D71BE">
      <w:pPr>
        <w:spacing w:line="360" w:lineRule="auto"/>
        <w:ind w:firstLine="480" w:firstLineChars="200"/>
        <w:jc w:val="both"/>
        <w:rPr>
          <w:bCs/>
          <w:sz w:val="24"/>
          <w:lang w:eastAsia="zh-CN"/>
        </w:rPr>
      </w:pPr>
      <w:r>
        <w:rPr>
          <w:rFonts w:hint="eastAsia"/>
          <w:bCs/>
          <w:sz w:val="24"/>
          <w:lang w:eastAsia="zh-CN"/>
        </w:rPr>
        <w:t>（2）</w:t>
      </w:r>
      <w:r>
        <w:rPr>
          <w:bCs/>
          <w:sz w:val="24"/>
          <w:lang w:eastAsia="zh-CN"/>
        </w:rPr>
        <w:t>不公平地对待其管理的不同基金财产；</w:t>
      </w:r>
    </w:p>
    <w:p w14:paraId="16427765">
      <w:pPr>
        <w:spacing w:line="360" w:lineRule="auto"/>
        <w:ind w:firstLine="480" w:firstLineChars="200"/>
        <w:jc w:val="both"/>
        <w:rPr>
          <w:bCs/>
          <w:sz w:val="24"/>
          <w:lang w:eastAsia="zh-CN"/>
        </w:rPr>
      </w:pPr>
      <w:r>
        <w:rPr>
          <w:rFonts w:hint="eastAsia"/>
          <w:bCs/>
          <w:sz w:val="24"/>
          <w:lang w:eastAsia="zh-CN"/>
        </w:rPr>
        <w:t>（3）</w:t>
      </w:r>
      <w:r>
        <w:rPr>
          <w:bCs/>
          <w:sz w:val="24"/>
          <w:lang w:eastAsia="zh-CN"/>
        </w:rPr>
        <w:t>利用基金财产为基金份额持有人以外的第三人谋取利益；</w:t>
      </w:r>
    </w:p>
    <w:p w14:paraId="680DA784">
      <w:pPr>
        <w:spacing w:line="360" w:lineRule="auto"/>
        <w:ind w:firstLine="480" w:firstLineChars="200"/>
        <w:jc w:val="both"/>
        <w:rPr>
          <w:bCs/>
          <w:sz w:val="24"/>
          <w:lang w:eastAsia="zh-CN"/>
        </w:rPr>
      </w:pPr>
      <w:r>
        <w:rPr>
          <w:rFonts w:hint="eastAsia"/>
          <w:bCs/>
          <w:sz w:val="24"/>
          <w:lang w:eastAsia="zh-CN"/>
        </w:rPr>
        <w:t>（4）</w:t>
      </w:r>
      <w:r>
        <w:rPr>
          <w:bCs/>
          <w:sz w:val="24"/>
          <w:lang w:eastAsia="zh-CN"/>
        </w:rPr>
        <w:t>向基金份额持有人违规承诺收益或者承担损失；</w:t>
      </w:r>
    </w:p>
    <w:p w14:paraId="4D6590C8">
      <w:pPr>
        <w:spacing w:line="360" w:lineRule="auto"/>
        <w:ind w:firstLine="480" w:firstLineChars="200"/>
        <w:jc w:val="both"/>
        <w:rPr>
          <w:bCs/>
          <w:sz w:val="24"/>
          <w:lang w:eastAsia="zh-CN"/>
        </w:rPr>
      </w:pPr>
      <w:r>
        <w:rPr>
          <w:rFonts w:hint="eastAsia"/>
          <w:bCs/>
          <w:sz w:val="24"/>
          <w:lang w:eastAsia="zh-CN"/>
        </w:rPr>
        <w:t>（5）</w:t>
      </w:r>
      <w:r>
        <w:rPr>
          <w:bCs/>
          <w:sz w:val="24"/>
          <w:lang w:eastAsia="zh-CN"/>
        </w:rPr>
        <w:t>侵占、挪用基金财产；</w:t>
      </w:r>
    </w:p>
    <w:p w14:paraId="0EB5E420">
      <w:pPr>
        <w:spacing w:line="360" w:lineRule="auto"/>
        <w:ind w:firstLine="480" w:firstLineChars="200"/>
        <w:jc w:val="both"/>
        <w:rPr>
          <w:bCs/>
          <w:sz w:val="24"/>
          <w:lang w:eastAsia="zh-CN"/>
        </w:rPr>
      </w:pPr>
      <w:r>
        <w:rPr>
          <w:rFonts w:hint="eastAsia"/>
          <w:bCs/>
          <w:sz w:val="24"/>
          <w:lang w:eastAsia="zh-CN"/>
        </w:rPr>
        <w:t>（6）</w:t>
      </w:r>
      <w:r>
        <w:rPr>
          <w:bCs/>
          <w:sz w:val="24"/>
          <w:lang w:eastAsia="zh-CN"/>
        </w:rPr>
        <w:t>泄漏因职务便利获取的未公开信息、利用该信息从事或者明示、暗示他人从事相关的交易活动；</w:t>
      </w:r>
    </w:p>
    <w:p w14:paraId="3A350B96">
      <w:pPr>
        <w:spacing w:line="360" w:lineRule="auto"/>
        <w:ind w:firstLine="480" w:firstLineChars="200"/>
        <w:jc w:val="both"/>
        <w:rPr>
          <w:bCs/>
          <w:sz w:val="24"/>
          <w:lang w:eastAsia="zh-CN"/>
        </w:rPr>
      </w:pPr>
      <w:r>
        <w:rPr>
          <w:rFonts w:hint="eastAsia"/>
          <w:bCs/>
          <w:sz w:val="24"/>
          <w:lang w:eastAsia="zh-CN"/>
        </w:rPr>
        <w:t>（7）</w:t>
      </w:r>
      <w:r>
        <w:rPr>
          <w:bCs/>
          <w:sz w:val="24"/>
          <w:lang w:eastAsia="zh-CN"/>
        </w:rPr>
        <w:t>玩忽职守，不按照规定履行职责；</w:t>
      </w:r>
    </w:p>
    <w:p w14:paraId="2FD26E20">
      <w:pPr>
        <w:spacing w:line="360" w:lineRule="auto"/>
        <w:ind w:firstLine="480" w:firstLineChars="200"/>
        <w:jc w:val="both"/>
        <w:rPr>
          <w:bCs/>
          <w:sz w:val="24"/>
          <w:lang w:eastAsia="zh-CN"/>
        </w:rPr>
      </w:pPr>
      <w:r>
        <w:rPr>
          <w:rFonts w:hint="eastAsia"/>
          <w:bCs/>
          <w:sz w:val="24"/>
          <w:lang w:eastAsia="zh-CN"/>
        </w:rPr>
        <w:t>（8）</w:t>
      </w:r>
      <w:r>
        <w:rPr>
          <w:bCs/>
          <w:sz w:val="24"/>
          <w:lang w:eastAsia="zh-CN"/>
        </w:rPr>
        <w:t>法律、行政法规和中国证监会禁止的其他行为。</w:t>
      </w:r>
    </w:p>
    <w:p w14:paraId="6A75B0C5">
      <w:pPr>
        <w:spacing w:line="360" w:lineRule="auto"/>
        <w:ind w:firstLine="480" w:firstLineChars="200"/>
        <w:jc w:val="both"/>
        <w:rPr>
          <w:bCs/>
          <w:sz w:val="24"/>
          <w:lang w:eastAsia="zh-CN"/>
        </w:rPr>
      </w:pPr>
      <w:r>
        <w:rPr>
          <w:bCs/>
          <w:sz w:val="24"/>
          <w:lang w:eastAsia="zh-CN"/>
        </w:rPr>
        <w:t>3、本基金管理人承诺加强人员管理，强化职业操守，督促和约束员工遵守国家有关法律、法规及行业规范，诚实信用、勤勉尽责，不从事以下活动：</w:t>
      </w:r>
    </w:p>
    <w:p w14:paraId="5E677A12">
      <w:pPr>
        <w:spacing w:line="360" w:lineRule="auto"/>
        <w:ind w:firstLine="480" w:firstLineChars="200"/>
        <w:jc w:val="both"/>
        <w:rPr>
          <w:bCs/>
          <w:sz w:val="24"/>
          <w:lang w:eastAsia="zh-CN"/>
        </w:rPr>
      </w:pPr>
      <w:r>
        <w:rPr>
          <w:rFonts w:hint="eastAsia"/>
          <w:bCs/>
          <w:sz w:val="24"/>
          <w:lang w:eastAsia="zh-CN"/>
        </w:rPr>
        <w:t>（1）</w:t>
      </w:r>
      <w:r>
        <w:rPr>
          <w:bCs/>
          <w:sz w:val="24"/>
          <w:lang w:eastAsia="zh-CN"/>
        </w:rPr>
        <w:t>越权或违规经营；</w:t>
      </w:r>
    </w:p>
    <w:p w14:paraId="73821F97">
      <w:pPr>
        <w:spacing w:line="360" w:lineRule="auto"/>
        <w:ind w:firstLine="480" w:firstLineChars="200"/>
        <w:jc w:val="both"/>
        <w:rPr>
          <w:bCs/>
          <w:sz w:val="24"/>
          <w:lang w:eastAsia="zh-CN"/>
        </w:rPr>
      </w:pPr>
      <w:r>
        <w:rPr>
          <w:rFonts w:hint="eastAsia"/>
          <w:bCs/>
          <w:sz w:val="24"/>
          <w:lang w:eastAsia="zh-CN"/>
        </w:rPr>
        <w:t>（2）</w:t>
      </w:r>
      <w:r>
        <w:rPr>
          <w:bCs/>
          <w:sz w:val="24"/>
          <w:lang w:eastAsia="zh-CN"/>
        </w:rPr>
        <w:t>违反基金合同或托管协议；</w:t>
      </w:r>
    </w:p>
    <w:p w14:paraId="40F9AD54">
      <w:pPr>
        <w:spacing w:line="360" w:lineRule="auto"/>
        <w:ind w:firstLine="480" w:firstLineChars="200"/>
        <w:jc w:val="both"/>
        <w:rPr>
          <w:bCs/>
          <w:sz w:val="24"/>
          <w:lang w:eastAsia="zh-CN"/>
        </w:rPr>
      </w:pPr>
      <w:r>
        <w:rPr>
          <w:rFonts w:hint="eastAsia"/>
          <w:bCs/>
          <w:sz w:val="24"/>
          <w:lang w:eastAsia="zh-CN"/>
        </w:rPr>
        <w:t>（3）</w:t>
      </w:r>
      <w:r>
        <w:rPr>
          <w:bCs/>
          <w:sz w:val="24"/>
          <w:lang w:eastAsia="zh-CN"/>
        </w:rPr>
        <w:t>故意损害基金份额持有人或其他基金相关机构的合法利益；</w:t>
      </w:r>
    </w:p>
    <w:p w14:paraId="340B3938">
      <w:pPr>
        <w:spacing w:line="360" w:lineRule="auto"/>
        <w:ind w:firstLine="480" w:firstLineChars="200"/>
        <w:jc w:val="both"/>
        <w:rPr>
          <w:bCs/>
          <w:sz w:val="24"/>
          <w:lang w:eastAsia="zh-CN"/>
        </w:rPr>
      </w:pPr>
      <w:r>
        <w:rPr>
          <w:rFonts w:hint="eastAsia"/>
          <w:bCs/>
          <w:sz w:val="24"/>
          <w:lang w:eastAsia="zh-CN"/>
        </w:rPr>
        <w:t>（4）</w:t>
      </w:r>
      <w:r>
        <w:rPr>
          <w:bCs/>
          <w:sz w:val="24"/>
          <w:lang w:eastAsia="zh-CN"/>
        </w:rPr>
        <w:t>在向中国证监会报送的资料中弄虚作假；</w:t>
      </w:r>
    </w:p>
    <w:p w14:paraId="3F1CEE0D">
      <w:pPr>
        <w:spacing w:line="360" w:lineRule="auto"/>
        <w:ind w:firstLine="480" w:firstLineChars="200"/>
        <w:jc w:val="both"/>
        <w:rPr>
          <w:bCs/>
          <w:sz w:val="24"/>
          <w:lang w:eastAsia="zh-CN"/>
        </w:rPr>
      </w:pPr>
      <w:r>
        <w:rPr>
          <w:rFonts w:hint="eastAsia"/>
          <w:bCs/>
          <w:sz w:val="24"/>
          <w:lang w:eastAsia="zh-CN"/>
        </w:rPr>
        <w:t>（5）</w:t>
      </w:r>
      <w:r>
        <w:rPr>
          <w:bCs/>
          <w:sz w:val="24"/>
          <w:lang w:eastAsia="zh-CN"/>
        </w:rPr>
        <w:t>拒绝、干扰、阻挠或严重影响中国证监会依法监管；</w:t>
      </w:r>
    </w:p>
    <w:p w14:paraId="1AA49A23">
      <w:pPr>
        <w:spacing w:line="360" w:lineRule="auto"/>
        <w:ind w:firstLine="480" w:firstLineChars="200"/>
        <w:jc w:val="both"/>
        <w:rPr>
          <w:bCs/>
          <w:sz w:val="24"/>
          <w:lang w:eastAsia="zh-CN"/>
        </w:rPr>
      </w:pPr>
      <w:r>
        <w:rPr>
          <w:rFonts w:hint="eastAsia"/>
          <w:bCs/>
          <w:sz w:val="24"/>
          <w:lang w:eastAsia="zh-CN"/>
        </w:rPr>
        <w:t>（6）</w:t>
      </w:r>
      <w:r>
        <w:rPr>
          <w:bCs/>
          <w:sz w:val="24"/>
          <w:lang w:eastAsia="zh-CN"/>
        </w:rPr>
        <w:t>玩忽职守、滥用职权；</w:t>
      </w:r>
    </w:p>
    <w:p w14:paraId="76625ED4">
      <w:pPr>
        <w:spacing w:line="360" w:lineRule="auto"/>
        <w:ind w:firstLine="480" w:firstLineChars="200"/>
        <w:jc w:val="both"/>
        <w:rPr>
          <w:bCs/>
          <w:sz w:val="24"/>
          <w:lang w:eastAsia="zh-CN"/>
        </w:rPr>
      </w:pPr>
      <w:r>
        <w:rPr>
          <w:rFonts w:hint="eastAsia"/>
          <w:bCs/>
          <w:sz w:val="24"/>
          <w:lang w:eastAsia="zh-CN"/>
        </w:rPr>
        <w:t>（7）</w:t>
      </w:r>
      <w:r>
        <w:rPr>
          <w:bCs/>
          <w:sz w:val="24"/>
          <w:lang w:eastAsia="zh-CN"/>
        </w:rPr>
        <w:t>违反现行有效的有关法律、法规、规章、基金合同和中国证监会的有关规定，泄漏在任职期间知悉的有关证券、基金的商业秘密，尚未依法公开的基金投资内容、基金投资计划等信息；</w:t>
      </w:r>
    </w:p>
    <w:p w14:paraId="4C486EB4">
      <w:pPr>
        <w:spacing w:line="360" w:lineRule="auto"/>
        <w:ind w:firstLine="480" w:firstLineChars="200"/>
        <w:jc w:val="both"/>
        <w:rPr>
          <w:bCs/>
          <w:sz w:val="24"/>
          <w:lang w:eastAsia="zh-CN"/>
        </w:rPr>
      </w:pPr>
      <w:r>
        <w:rPr>
          <w:rFonts w:hint="eastAsia"/>
          <w:bCs/>
          <w:sz w:val="24"/>
          <w:lang w:eastAsia="zh-CN"/>
        </w:rPr>
        <w:t>（8）</w:t>
      </w:r>
      <w:r>
        <w:rPr>
          <w:bCs/>
          <w:sz w:val="24"/>
          <w:lang w:eastAsia="zh-CN"/>
        </w:rPr>
        <w:t>违反证券交易场所业务规则，利用对敲、倒仓等手段操纵市场价格，扰乱市场秩序；</w:t>
      </w:r>
    </w:p>
    <w:p w14:paraId="6C4A6326">
      <w:pPr>
        <w:spacing w:line="360" w:lineRule="auto"/>
        <w:ind w:firstLine="480" w:firstLineChars="200"/>
        <w:jc w:val="both"/>
        <w:rPr>
          <w:bCs/>
          <w:sz w:val="24"/>
          <w:lang w:eastAsia="zh-CN"/>
        </w:rPr>
      </w:pPr>
      <w:r>
        <w:rPr>
          <w:rFonts w:hint="eastAsia"/>
          <w:bCs/>
          <w:sz w:val="24"/>
          <w:lang w:eastAsia="zh-CN"/>
        </w:rPr>
        <w:t>（9）</w:t>
      </w:r>
      <w:r>
        <w:rPr>
          <w:bCs/>
          <w:sz w:val="24"/>
          <w:lang w:eastAsia="zh-CN"/>
        </w:rPr>
        <w:t>贬损同行，以抬高自己；</w:t>
      </w:r>
    </w:p>
    <w:p w14:paraId="2B333F83">
      <w:pPr>
        <w:spacing w:line="360" w:lineRule="auto"/>
        <w:ind w:firstLine="480" w:firstLineChars="200"/>
        <w:jc w:val="both"/>
        <w:rPr>
          <w:bCs/>
          <w:sz w:val="24"/>
          <w:lang w:eastAsia="zh-CN"/>
        </w:rPr>
      </w:pPr>
      <w:r>
        <w:rPr>
          <w:rFonts w:hint="eastAsia"/>
          <w:bCs/>
          <w:sz w:val="24"/>
          <w:lang w:eastAsia="zh-CN"/>
        </w:rPr>
        <w:t>（10）</w:t>
      </w:r>
      <w:r>
        <w:rPr>
          <w:bCs/>
          <w:sz w:val="24"/>
          <w:lang w:eastAsia="zh-CN"/>
        </w:rPr>
        <w:t>以不正当手段谋求业务发展；</w:t>
      </w:r>
    </w:p>
    <w:p w14:paraId="4ED87049">
      <w:pPr>
        <w:spacing w:line="360" w:lineRule="auto"/>
        <w:ind w:firstLine="480" w:firstLineChars="200"/>
        <w:jc w:val="both"/>
        <w:rPr>
          <w:bCs/>
          <w:sz w:val="24"/>
          <w:lang w:eastAsia="zh-CN"/>
        </w:rPr>
      </w:pPr>
      <w:r>
        <w:rPr>
          <w:rFonts w:hint="eastAsia"/>
          <w:bCs/>
          <w:sz w:val="24"/>
          <w:lang w:eastAsia="zh-CN"/>
        </w:rPr>
        <w:t>（11）</w:t>
      </w:r>
      <w:r>
        <w:rPr>
          <w:bCs/>
          <w:sz w:val="24"/>
          <w:lang w:eastAsia="zh-CN"/>
        </w:rPr>
        <w:t>有悖社会公德，损害证券投资基金人员形象；</w:t>
      </w:r>
    </w:p>
    <w:p w14:paraId="793414B8">
      <w:pPr>
        <w:spacing w:line="360" w:lineRule="auto"/>
        <w:ind w:firstLine="480" w:firstLineChars="200"/>
        <w:jc w:val="both"/>
        <w:rPr>
          <w:bCs/>
          <w:sz w:val="24"/>
          <w:lang w:eastAsia="zh-CN"/>
        </w:rPr>
      </w:pPr>
      <w:r>
        <w:rPr>
          <w:rFonts w:hint="eastAsia"/>
          <w:bCs/>
          <w:sz w:val="24"/>
          <w:lang w:eastAsia="zh-CN"/>
        </w:rPr>
        <w:t>（12）</w:t>
      </w:r>
      <w:r>
        <w:rPr>
          <w:bCs/>
          <w:sz w:val="24"/>
          <w:lang w:eastAsia="zh-CN"/>
        </w:rPr>
        <w:t>在公开信息披露和广告中故意含有虚假、误导、欺诈成分；</w:t>
      </w:r>
    </w:p>
    <w:p w14:paraId="30DCD83E">
      <w:pPr>
        <w:spacing w:line="360" w:lineRule="auto"/>
        <w:ind w:firstLine="480" w:firstLineChars="200"/>
        <w:jc w:val="both"/>
        <w:rPr>
          <w:bCs/>
          <w:sz w:val="24"/>
          <w:lang w:eastAsia="zh-CN"/>
        </w:rPr>
      </w:pPr>
      <w:r>
        <w:rPr>
          <w:rFonts w:hint="eastAsia"/>
          <w:bCs/>
          <w:sz w:val="24"/>
          <w:lang w:eastAsia="zh-CN"/>
        </w:rPr>
        <w:t>（13）</w:t>
      </w:r>
      <w:r>
        <w:rPr>
          <w:bCs/>
          <w:sz w:val="24"/>
          <w:lang w:eastAsia="zh-CN"/>
        </w:rPr>
        <w:t>其他法律、行政法规以及中国证监会禁止的行为。</w:t>
      </w:r>
    </w:p>
    <w:p w14:paraId="27D76E18">
      <w:pPr>
        <w:spacing w:line="360" w:lineRule="auto"/>
        <w:ind w:firstLine="480" w:firstLineChars="200"/>
        <w:jc w:val="both"/>
        <w:rPr>
          <w:bCs/>
          <w:sz w:val="24"/>
          <w:lang w:eastAsia="zh-CN"/>
        </w:rPr>
      </w:pPr>
      <w:r>
        <w:rPr>
          <w:bCs/>
          <w:sz w:val="24"/>
          <w:lang w:eastAsia="zh-CN"/>
        </w:rPr>
        <w:t>4、基金经理承诺</w:t>
      </w:r>
    </w:p>
    <w:p w14:paraId="358F3BC6">
      <w:pPr>
        <w:spacing w:line="360" w:lineRule="auto"/>
        <w:ind w:firstLine="480" w:firstLineChars="200"/>
        <w:jc w:val="both"/>
        <w:rPr>
          <w:bCs/>
          <w:sz w:val="24"/>
          <w:lang w:eastAsia="zh-CN"/>
        </w:rPr>
      </w:pPr>
      <w:r>
        <w:rPr>
          <w:rFonts w:hint="eastAsia"/>
          <w:bCs/>
          <w:sz w:val="24"/>
          <w:lang w:eastAsia="zh-CN"/>
        </w:rPr>
        <w:t>（1）</w:t>
      </w:r>
      <w:r>
        <w:rPr>
          <w:bCs/>
          <w:sz w:val="24"/>
          <w:lang w:eastAsia="zh-CN"/>
        </w:rPr>
        <w:t>依照有关法律、法规和基金合同的规定，本着谨慎的原则为基金份额持有人谋取最大利益；</w:t>
      </w:r>
    </w:p>
    <w:p w14:paraId="4CE31C46">
      <w:pPr>
        <w:spacing w:line="360" w:lineRule="auto"/>
        <w:ind w:firstLine="480" w:firstLineChars="200"/>
        <w:jc w:val="both"/>
        <w:rPr>
          <w:bCs/>
          <w:sz w:val="24"/>
          <w:lang w:eastAsia="zh-CN"/>
        </w:rPr>
      </w:pPr>
      <w:r>
        <w:rPr>
          <w:rFonts w:hint="eastAsia"/>
          <w:bCs/>
          <w:sz w:val="24"/>
          <w:lang w:eastAsia="zh-CN"/>
        </w:rPr>
        <w:t>（2）</w:t>
      </w:r>
      <w:r>
        <w:rPr>
          <w:bCs/>
          <w:sz w:val="24"/>
          <w:lang w:eastAsia="zh-CN"/>
        </w:rPr>
        <w:t>不利用职务之便为自己及其代理人、受雇人或任何第三人谋取利益；</w:t>
      </w:r>
    </w:p>
    <w:p w14:paraId="418B96D7">
      <w:pPr>
        <w:spacing w:line="360" w:lineRule="auto"/>
        <w:ind w:firstLine="480" w:firstLineChars="200"/>
        <w:jc w:val="both"/>
        <w:rPr>
          <w:bCs/>
          <w:sz w:val="24"/>
          <w:lang w:eastAsia="zh-CN"/>
        </w:rPr>
      </w:pPr>
      <w:r>
        <w:rPr>
          <w:rFonts w:hint="eastAsia"/>
          <w:bCs/>
          <w:sz w:val="24"/>
          <w:lang w:eastAsia="zh-CN"/>
        </w:rPr>
        <w:t>（3）</w:t>
      </w:r>
      <w:r>
        <w:rPr>
          <w:bCs/>
          <w:sz w:val="24"/>
          <w:lang w:eastAsia="zh-CN"/>
        </w:rPr>
        <w:t>不违反现行有效的有关法律、法规、规章、基金合同和中国证监会的有关规定</w:t>
      </w:r>
      <w:r>
        <w:rPr>
          <w:rFonts w:hint="eastAsia"/>
          <w:bCs/>
          <w:sz w:val="24"/>
          <w:lang w:eastAsia="zh-CN"/>
        </w:rPr>
        <w:t>，</w:t>
      </w:r>
      <w:r>
        <w:rPr>
          <w:bCs/>
          <w:sz w:val="24"/>
          <w:lang w:eastAsia="zh-CN"/>
        </w:rPr>
        <w:t>泄漏在任职期间知悉的有关证券、基金的商业秘密、尚未依法公开的基金投资内容、基金投资计划等信息；</w:t>
      </w:r>
    </w:p>
    <w:p w14:paraId="7303830A">
      <w:pPr>
        <w:spacing w:line="360" w:lineRule="auto"/>
        <w:ind w:firstLine="480" w:firstLineChars="200"/>
        <w:jc w:val="both"/>
        <w:rPr>
          <w:bCs/>
          <w:sz w:val="24"/>
          <w:lang w:eastAsia="zh-CN"/>
        </w:rPr>
      </w:pPr>
      <w:r>
        <w:rPr>
          <w:rFonts w:hint="eastAsia"/>
          <w:bCs/>
          <w:sz w:val="24"/>
          <w:lang w:eastAsia="zh-CN"/>
        </w:rPr>
        <w:t>（4）</w:t>
      </w:r>
      <w:r>
        <w:rPr>
          <w:bCs/>
          <w:sz w:val="24"/>
          <w:lang w:eastAsia="zh-CN"/>
        </w:rPr>
        <w:t>不从事损害基金财产和基金份额持有人利益的证券交易及其他活动。</w:t>
      </w:r>
    </w:p>
    <w:p w14:paraId="1CBB0F62">
      <w:pPr>
        <w:spacing w:line="360" w:lineRule="auto"/>
        <w:ind w:firstLine="480" w:firstLineChars="200"/>
        <w:jc w:val="both"/>
        <w:rPr>
          <w:bCs/>
          <w:sz w:val="24"/>
          <w:lang w:eastAsia="zh-CN"/>
        </w:rPr>
      </w:pPr>
      <w:r>
        <w:rPr>
          <w:bCs/>
          <w:sz w:val="24"/>
          <w:lang w:eastAsia="zh-CN"/>
        </w:rPr>
        <w:t>五</w:t>
      </w:r>
      <w:r>
        <w:rPr>
          <w:rFonts w:hint="eastAsia"/>
          <w:bCs/>
          <w:sz w:val="24"/>
          <w:lang w:eastAsia="zh-CN"/>
        </w:rPr>
        <w:t>、</w:t>
      </w:r>
      <w:r>
        <w:rPr>
          <w:bCs/>
          <w:sz w:val="24"/>
          <w:lang w:eastAsia="zh-CN"/>
        </w:rPr>
        <w:t>基金管理人的内部控制制度</w:t>
      </w:r>
    </w:p>
    <w:p w14:paraId="4625993B">
      <w:pPr>
        <w:spacing w:line="360" w:lineRule="auto"/>
        <w:ind w:firstLine="480" w:firstLineChars="200"/>
        <w:jc w:val="both"/>
        <w:rPr>
          <w:bCs/>
          <w:sz w:val="24"/>
          <w:lang w:eastAsia="zh-CN"/>
        </w:rPr>
      </w:pPr>
      <w:r>
        <w:rPr>
          <w:bCs/>
          <w:sz w:val="24"/>
          <w:lang w:eastAsia="zh-CN"/>
        </w:rPr>
        <w:t>为保证公司规范化运作，有效地防范和化解经营风险，促进公司诚信、合法、有效经营，保障基金份额持有人利益，维护公司及公司股东的合法权益，本基金管理人建立了科学、严密、高效的内部控制体系。</w:t>
      </w:r>
    </w:p>
    <w:p w14:paraId="2AAA9C11">
      <w:pPr>
        <w:spacing w:line="360" w:lineRule="auto"/>
        <w:ind w:firstLine="480" w:firstLineChars="200"/>
        <w:jc w:val="both"/>
        <w:rPr>
          <w:bCs/>
          <w:sz w:val="24"/>
          <w:lang w:eastAsia="zh-CN"/>
        </w:rPr>
      </w:pPr>
      <w:r>
        <w:rPr>
          <w:bCs/>
          <w:sz w:val="24"/>
          <w:lang w:eastAsia="zh-CN"/>
        </w:rPr>
        <w:t>1、公司内部控制的总体目标</w:t>
      </w:r>
    </w:p>
    <w:p w14:paraId="15AB2495">
      <w:pPr>
        <w:spacing w:line="360" w:lineRule="auto"/>
        <w:ind w:firstLine="480" w:firstLineChars="200"/>
        <w:jc w:val="both"/>
        <w:rPr>
          <w:bCs/>
          <w:sz w:val="24"/>
          <w:lang w:eastAsia="zh-CN"/>
        </w:rPr>
      </w:pPr>
      <w:r>
        <w:rPr>
          <w:rFonts w:hint="eastAsia"/>
          <w:bCs/>
          <w:sz w:val="24"/>
          <w:lang w:eastAsia="zh-CN"/>
        </w:rPr>
        <w:t>（1）</w:t>
      </w:r>
      <w:r>
        <w:rPr>
          <w:bCs/>
          <w:sz w:val="24"/>
          <w:lang w:eastAsia="zh-CN"/>
        </w:rPr>
        <w:t>保证公司经营管理活动的合法合规性；</w:t>
      </w:r>
    </w:p>
    <w:p w14:paraId="7E04CC18">
      <w:pPr>
        <w:spacing w:line="360" w:lineRule="auto"/>
        <w:ind w:firstLine="480" w:firstLineChars="200"/>
        <w:jc w:val="both"/>
        <w:rPr>
          <w:bCs/>
          <w:sz w:val="24"/>
          <w:lang w:eastAsia="zh-CN"/>
        </w:rPr>
      </w:pPr>
      <w:r>
        <w:rPr>
          <w:rFonts w:hint="eastAsia"/>
          <w:bCs/>
          <w:sz w:val="24"/>
          <w:lang w:eastAsia="zh-CN"/>
        </w:rPr>
        <w:t>（2）</w:t>
      </w:r>
      <w:r>
        <w:rPr>
          <w:bCs/>
          <w:sz w:val="24"/>
          <w:lang w:eastAsia="zh-CN"/>
        </w:rPr>
        <w:t>保证基金份额持有人的合法权益不受侵犯；</w:t>
      </w:r>
    </w:p>
    <w:p w14:paraId="7FDC5E18">
      <w:pPr>
        <w:spacing w:line="360" w:lineRule="auto"/>
        <w:ind w:firstLine="480" w:firstLineChars="200"/>
        <w:jc w:val="both"/>
        <w:rPr>
          <w:bCs/>
          <w:sz w:val="24"/>
          <w:lang w:eastAsia="zh-CN"/>
        </w:rPr>
      </w:pPr>
      <w:r>
        <w:rPr>
          <w:rFonts w:hint="eastAsia"/>
          <w:bCs/>
          <w:sz w:val="24"/>
          <w:lang w:eastAsia="zh-CN"/>
        </w:rPr>
        <w:t>（3）</w:t>
      </w:r>
      <w:r>
        <w:rPr>
          <w:bCs/>
          <w:sz w:val="24"/>
          <w:lang w:eastAsia="zh-CN"/>
        </w:rPr>
        <w:t>实现公司稳健、持续发展，维护股东权益；</w:t>
      </w:r>
    </w:p>
    <w:p w14:paraId="0BEA3932">
      <w:pPr>
        <w:spacing w:line="360" w:lineRule="auto"/>
        <w:ind w:firstLine="480" w:firstLineChars="200"/>
        <w:jc w:val="both"/>
        <w:rPr>
          <w:bCs/>
          <w:sz w:val="24"/>
          <w:lang w:eastAsia="zh-CN"/>
        </w:rPr>
      </w:pPr>
      <w:r>
        <w:rPr>
          <w:rFonts w:hint="eastAsia"/>
          <w:bCs/>
          <w:sz w:val="24"/>
          <w:lang w:eastAsia="zh-CN"/>
        </w:rPr>
        <w:t>（4）</w:t>
      </w:r>
      <w:r>
        <w:rPr>
          <w:bCs/>
          <w:sz w:val="24"/>
          <w:lang w:eastAsia="zh-CN"/>
        </w:rPr>
        <w:t>促进公司全体员工恪守职业操守，正直诚信，廉洁自律，勤勉尽责；</w:t>
      </w:r>
    </w:p>
    <w:p w14:paraId="70967D14">
      <w:pPr>
        <w:spacing w:line="360" w:lineRule="auto"/>
        <w:ind w:firstLine="480" w:firstLineChars="200"/>
        <w:jc w:val="both"/>
        <w:rPr>
          <w:bCs/>
          <w:sz w:val="24"/>
          <w:lang w:eastAsia="zh-CN"/>
        </w:rPr>
      </w:pPr>
      <w:r>
        <w:rPr>
          <w:rFonts w:hint="eastAsia"/>
          <w:bCs/>
          <w:sz w:val="24"/>
          <w:lang w:eastAsia="zh-CN"/>
        </w:rPr>
        <w:t>（5）</w:t>
      </w:r>
      <w:r>
        <w:rPr>
          <w:bCs/>
          <w:sz w:val="24"/>
          <w:lang w:eastAsia="zh-CN"/>
        </w:rPr>
        <w:t>保护公司最重要的资本：公司声誉。</w:t>
      </w:r>
    </w:p>
    <w:p w14:paraId="74C307C1">
      <w:pPr>
        <w:spacing w:line="360" w:lineRule="auto"/>
        <w:ind w:firstLine="480" w:firstLineChars="200"/>
        <w:jc w:val="both"/>
        <w:rPr>
          <w:bCs/>
          <w:sz w:val="24"/>
          <w:lang w:eastAsia="zh-CN"/>
        </w:rPr>
      </w:pPr>
      <w:r>
        <w:rPr>
          <w:bCs/>
          <w:sz w:val="24"/>
          <w:lang w:eastAsia="zh-CN"/>
        </w:rPr>
        <w:t>2、公司内部控制遵循的原则</w:t>
      </w:r>
    </w:p>
    <w:p w14:paraId="1FB98E01">
      <w:pPr>
        <w:spacing w:line="360" w:lineRule="auto"/>
        <w:ind w:firstLine="480" w:firstLineChars="200"/>
        <w:jc w:val="both"/>
        <w:rPr>
          <w:bCs/>
          <w:sz w:val="24"/>
          <w:lang w:eastAsia="zh-CN"/>
        </w:rPr>
      </w:pPr>
      <w:r>
        <w:rPr>
          <w:rFonts w:hint="eastAsia"/>
          <w:bCs/>
          <w:sz w:val="24"/>
          <w:lang w:eastAsia="zh-CN"/>
        </w:rPr>
        <w:t>（1）</w:t>
      </w:r>
      <w:r>
        <w:rPr>
          <w:bCs/>
          <w:sz w:val="24"/>
          <w:lang w:eastAsia="zh-CN"/>
        </w:rPr>
        <w:t>全面性原则：内部控制必须覆盖公司的所有部门和岗位，渗透各项业务过程和业务环节，并普遍适用于公司每一位职员；</w:t>
      </w:r>
    </w:p>
    <w:p w14:paraId="3742D067">
      <w:pPr>
        <w:spacing w:line="360" w:lineRule="auto"/>
        <w:ind w:firstLine="480" w:firstLineChars="200"/>
        <w:jc w:val="both"/>
        <w:rPr>
          <w:bCs/>
          <w:sz w:val="24"/>
          <w:lang w:eastAsia="zh-CN"/>
        </w:rPr>
      </w:pPr>
      <w:r>
        <w:rPr>
          <w:rFonts w:hint="eastAsia"/>
          <w:bCs/>
          <w:sz w:val="24"/>
          <w:lang w:eastAsia="zh-CN"/>
        </w:rPr>
        <w:t>（2）</w:t>
      </w:r>
      <w:r>
        <w:rPr>
          <w:bCs/>
          <w:sz w:val="24"/>
          <w:lang w:eastAsia="zh-CN"/>
        </w:rPr>
        <w:t>审慎性原则：内部控制的核心是有效防范各种风险，公司组织体系的构成、内部管理制度的建立都要以防范风险、审慎经营为出发点；</w:t>
      </w:r>
    </w:p>
    <w:p w14:paraId="3E9090C7">
      <w:pPr>
        <w:spacing w:line="360" w:lineRule="auto"/>
        <w:ind w:firstLine="480" w:firstLineChars="200"/>
        <w:jc w:val="both"/>
        <w:rPr>
          <w:bCs/>
          <w:sz w:val="24"/>
          <w:lang w:eastAsia="zh-CN"/>
        </w:rPr>
      </w:pPr>
      <w:r>
        <w:rPr>
          <w:rFonts w:hint="eastAsia"/>
          <w:bCs/>
          <w:sz w:val="24"/>
          <w:lang w:eastAsia="zh-CN"/>
        </w:rPr>
        <w:t>（3）</w:t>
      </w:r>
      <w:r>
        <w:rPr>
          <w:bCs/>
          <w:sz w:val="24"/>
          <w:lang w:eastAsia="zh-CN"/>
        </w:rPr>
        <w:t>相互制约原则：公司设置的各部门、各岗位权责分明、相互制衡；</w:t>
      </w:r>
    </w:p>
    <w:p w14:paraId="0A3A9F68">
      <w:pPr>
        <w:spacing w:line="360" w:lineRule="auto"/>
        <w:ind w:firstLine="480" w:firstLineChars="200"/>
        <w:jc w:val="both"/>
        <w:rPr>
          <w:bCs/>
          <w:sz w:val="24"/>
          <w:lang w:eastAsia="zh-CN"/>
        </w:rPr>
      </w:pPr>
      <w:r>
        <w:rPr>
          <w:rFonts w:hint="eastAsia"/>
          <w:bCs/>
          <w:sz w:val="24"/>
          <w:lang w:eastAsia="zh-CN"/>
        </w:rPr>
        <w:t>（4）</w:t>
      </w:r>
      <w:r>
        <w:rPr>
          <w:bCs/>
          <w:sz w:val="24"/>
          <w:lang w:eastAsia="zh-CN"/>
        </w:rPr>
        <w:t>独立性原则：公司根据业务的需要设立相对独立的机构、部门和岗位；公司内部部门和岗位的设置必须权责分明；</w:t>
      </w:r>
    </w:p>
    <w:p w14:paraId="333E1FF2">
      <w:pPr>
        <w:spacing w:line="360" w:lineRule="auto"/>
        <w:ind w:firstLine="480" w:firstLineChars="200"/>
        <w:jc w:val="both"/>
        <w:rPr>
          <w:bCs/>
          <w:sz w:val="24"/>
          <w:lang w:eastAsia="zh-CN"/>
        </w:rPr>
      </w:pPr>
      <w:r>
        <w:rPr>
          <w:rFonts w:hint="eastAsia"/>
          <w:bCs/>
          <w:sz w:val="24"/>
          <w:lang w:eastAsia="zh-CN"/>
        </w:rPr>
        <w:t>（5）</w:t>
      </w:r>
      <w:r>
        <w:rPr>
          <w:bCs/>
          <w:sz w:val="24"/>
          <w:lang w:eastAsia="zh-CN"/>
        </w:rPr>
        <w:t>有效性原则：各种内部管理制度具有高度的权威性，应是所有员工严格遵守的行动指南；执行内部管理制度不能有任何例外，任何人不得拥有超越制度或违反规章的权力；</w:t>
      </w:r>
    </w:p>
    <w:p w14:paraId="17A01FC6">
      <w:pPr>
        <w:spacing w:line="360" w:lineRule="auto"/>
        <w:ind w:firstLine="480" w:firstLineChars="200"/>
        <w:jc w:val="both"/>
        <w:rPr>
          <w:bCs/>
          <w:sz w:val="24"/>
          <w:lang w:eastAsia="zh-CN"/>
        </w:rPr>
      </w:pPr>
      <w:r>
        <w:rPr>
          <w:rFonts w:hint="eastAsia"/>
          <w:bCs/>
          <w:sz w:val="24"/>
          <w:lang w:eastAsia="zh-CN"/>
        </w:rPr>
        <w:t>（6）</w:t>
      </w:r>
      <w:r>
        <w:rPr>
          <w:bCs/>
          <w:sz w:val="24"/>
          <w:lang w:eastAsia="zh-CN"/>
        </w:rPr>
        <w:t>适时性原则：内部控制应具有前瞻性，并且必须随着公司经营战略、经营方针、经营理念等内部环境的变化和国家法律、法规、政策制度等外部环境的改变及时进行相应的修改和完善；</w:t>
      </w:r>
    </w:p>
    <w:p w14:paraId="20B6D1E0">
      <w:pPr>
        <w:spacing w:line="360" w:lineRule="auto"/>
        <w:ind w:firstLine="480" w:firstLineChars="200"/>
        <w:jc w:val="both"/>
        <w:rPr>
          <w:bCs/>
          <w:sz w:val="24"/>
          <w:lang w:eastAsia="zh-CN"/>
        </w:rPr>
      </w:pPr>
      <w:r>
        <w:rPr>
          <w:rFonts w:hint="eastAsia"/>
          <w:bCs/>
          <w:sz w:val="24"/>
          <w:lang w:eastAsia="zh-CN"/>
        </w:rPr>
        <w:t>（7）</w:t>
      </w:r>
      <w:r>
        <w:rPr>
          <w:bCs/>
          <w:sz w:val="24"/>
          <w:lang w:eastAsia="zh-CN"/>
        </w:rPr>
        <w:t>成本效益原则：公司运用科学化的经营管理方法降低运作成本，提高经济效益</w:t>
      </w:r>
      <w:r>
        <w:rPr>
          <w:rFonts w:hint="eastAsia"/>
          <w:bCs/>
          <w:sz w:val="24"/>
          <w:lang w:eastAsia="zh-CN"/>
        </w:rPr>
        <w:t>，</w:t>
      </w:r>
      <w:r>
        <w:rPr>
          <w:bCs/>
          <w:sz w:val="24"/>
          <w:lang w:eastAsia="zh-CN"/>
        </w:rPr>
        <w:t>力争以合理的控制成本达到最佳的内部控制效果。</w:t>
      </w:r>
    </w:p>
    <w:p w14:paraId="47603C08">
      <w:pPr>
        <w:spacing w:line="360" w:lineRule="auto"/>
        <w:ind w:firstLine="480" w:firstLineChars="200"/>
        <w:jc w:val="both"/>
        <w:rPr>
          <w:bCs/>
          <w:sz w:val="24"/>
          <w:lang w:eastAsia="zh-CN"/>
        </w:rPr>
      </w:pPr>
      <w:r>
        <w:rPr>
          <w:bCs/>
          <w:sz w:val="24"/>
          <w:lang w:eastAsia="zh-CN"/>
        </w:rPr>
        <w:t>3、内部控制的制度体系</w:t>
      </w:r>
    </w:p>
    <w:p w14:paraId="6A2E7F07">
      <w:pPr>
        <w:spacing w:line="360" w:lineRule="auto"/>
        <w:ind w:firstLine="480" w:firstLineChars="200"/>
        <w:jc w:val="both"/>
        <w:rPr>
          <w:bCs/>
          <w:sz w:val="24"/>
          <w:lang w:eastAsia="zh-CN"/>
        </w:rPr>
      </w:pPr>
      <w:r>
        <w:rPr>
          <w:bCs/>
          <w:sz w:val="24"/>
          <w:lang w:eastAsia="zh-CN"/>
        </w:rPr>
        <w:t>公司制定了合理、完备、有效并易于执行的制度体系。公司制度体系由不同层面的制度构成。按照其效力大小分为四个层面：第一个层面是公司章程；第二个层面是公司内部控制大纲，它是公司制定各项规章制度的基础和依据；第三个层面是公司基本管理制度；第四个层面是公司各机构、部门根据业务需要制定的各种制度及实施细则等。它们的制订、修改、实施、废止应该遵循相应的程序，每一层面的内容不得与其以上层面的内容相违背。公司重视对制度的持续检验，结合业务的发展、法规及监管环境的变化以及公司风险控制的要求，不断检讨和增强公司制度的完备性、有效性。</w:t>
      </w:r>
    </w:p>
    <w:p w14:paraId="64C94113">
      <w:pPr>
        <w:spacing w:line="360" w:lineRule="auto"/>
        <w:ind w:firstLine="480" w:firstLineChars="200"/>
        <w:jc w:val="both"/>
        <w:rPr>
          <w:bCs/>
          <w:sz w:val="24"/>
          <w:lang w:eastAsia="zh-CN"/>
        </w:rPr>
      </w:pPr>
      <w:r>
        <w:rPr>
          <w:bCs/>
          <w:sz w:val="24"/>
          <w:lang w:eastAsia="zh-CN"/>
        </w:rPr>
        <w:t>4、关于授权、研究、投资、交易等方面的控制点</w:t>
      </w:r>
    </w:p>
    <w:p w14:paraId="7E450D86">
      <w:pPr>
        <w:spacing w:line="360" w:lineRule="auto"/>
        <w:ind w:firstLine="480" w:firstLineChars="200"/>
        <w:jc w:val="both"/>
        <w:rPr>
          <w:bCs/>
          <w:sz w:val="24"/>
          <w:lang w:eastAsia="zh-CN"/>
        </w:rPr>
      </w:pPr>
      <w:r>
        <w:rPr>
          <w:rFonts w:hint="eastAsia"/>
          <w:bCs/>
          <w:sz w:val="24"/>
          <w:lang w:eastAsia="zh-CN"/>
        </w:rPr>
        <w:t>（1）</w:t>
      </w:r>
      <w:r>
        <w:rPr>
          <w:bCs/>
          <w:sz w:val="24"/>
          <w:lang w:eastAsia="zh-CN"/>
        </w:rPr>
        <w:t>授权制度</w:t>
      </w:r>
    </w:p>
    <w:p w14:paraId="604F2AD4">
      <w:pPr>
        <w:spacing w:line="360" w:lineRule="auto"/>
        <w:ind w:firstLine="480" w:firstLineChars="200"/>
        <w:jc w:val="both"/>
        <w:rPr>
          <w:bCs/>
          <w:sz w:val="24"/>
          <w:lang w:eastAsia="zh-CN"/>
        </w:rPr>
      </w:pPr>
      <w:r>
        <w:rPr>
          <w:bCs/>
          <w:sz w:val="24"/>
          <w:lang w:eastAsia="zh-CN"/>
        </w:rPr>
        <w:t>公司的授权制度贯穿于整个公司活动。股东、董事会、监事和管理层必须充分履行各自的职权，健全公司逐级授权制度，确保公司各项规章制度的贯彻执行；各项经济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0BDAFBFC">
      <w:pPr>
        <w:spacing w:line="360" w:lineRule="auto"/>
        <w:ind w:firstLine="480" w:firstLineChars="200"/>
        <w:jc w:val="both"/>
        <w:rPr>
          <w:bCs/>
          <w:sz w:val="24"/>
          <w:lang w:eastAsia="zh-CN"/>
        </w:rPr>
      </w:pPr>
      <w:r>
        <w:rPr>
          <w:rFonts w:hint="eastAsia"/>
          <w:bCs/>
          <w:sz w:val="24"/>
          <w:lang w:eastAsia="zh-CN"/>
        </w:rPr>
        <w:t>（2）</w:t>
      </w:r>
      <w:r>
        <w:rPr>
          <w:bCs/>
          <w:sz w:val="24"/>
          <w:lang w:eastAsia="zh-CN"/>
        </w:rPr>
        <w:t>公司研究业务</w:t>
      </w:r>
    </w:p>
    <w:p w14:paraId="7F0952B5">
      <w:pPr>
        <w:spacing w:line="360" w:lineRule="auto"/>
        <w:ind w:firstLine="480" w:firstLineChars="200"/>
        <w:jc w:val="both"/>
        <w:rPr>
          <w:bCs/>
          <w:sz w:val="24"/>
          <w:lang w:eastAsia="zh-CN"/>
        </w:rPr>
      </w:pPr>
      <w:r>
        <w:rPr>
          <w:bCs/>
          <w:sz w:val="24"/>
          <w:lang w:eastAsia="zh-CN"/>
        </w:rPr>
        <w:t>研究工作应保持独立、客观，不受任何部门及个人的不正当影响；建立严密的研究工作业务流程，形成科学、有效的研究方法；建立投资产品备选库制度，研究部门根据投资产品的特征，在充分研究的基础上建立和维护备选库。建立研究与投资的业务交流制度，保持畅通的交流渠道；建立研究报告质量评价体系，不断提高研究水平。</w:t>
      </w:r>
    </w:p>
    <w:p w14:paraId="59C8D98A">
      <w:pPr>
        <w:spacing w:line="360" w:lineRule="auto"/>
        <w:ind w:firstLine="480" w:firstLineChars="200"/>
        <w:jc w:val="both"/>
        <w:rPr>
          <w:bCs/>
          <w:sz w:val="24"/>
          <w:lang w:eastAsia="zh-CN"/>
        </w:rPr>
      </w:pPr>
      <w:r>
        <w:rPr>
          <w:rFonts w:hint="eastAsia"/>
          <w:bCs/>
          <w:sz w:val="24"/>
          <w:lang w:eastAsia="zh-CN"/>
        </w:rPr>
        <w:t>（3）</w:t>
      </w:r>
      <w:r>
        <w:rPr>
          <w:bCs/>
          <w:sz w:val="24"/>
          <w:lang w:eastAsia="zh-CN"/>
        </w:rPr>
        <w:t>基金投资业务</w:t>
      </w:r>
    </w:p>
    <w:p w14:paraId="49662B92">
      <w:pPr>
        <w:spacing w:line="360" w:lineRule="auto"/>
        <w:ind w:firstLine="480" w:firstLineChars="200"/>
        <w:jc w:val="both"/>
        <w:rPr>
          <w:bCs/>
          <w:sz w:val="24"/>
          <w:lang w:eastAsia="zh-CN"/>
        </w:rPr>
      </w:pPr>
      <w:r>
        <w:rPr>
          <w:bCs/>
          <w:sz w:val="24"/>
          <w:lang w:eastAsia="zh-CN"/>
        </w:rPr>
        <w:t>基金投资应确立科学的投资理念，根据决策的风险防范原则和效率性原则制定合理的决策程序；在进行投资时应有明确的投资授权制度，并应建立与所授权限相应的约束制度和考核制度。建立严格的投资禁止和投资限制制度，保证基金投资的合法合规性。建立投资风险评估与管理制度，将重点投资限制在规定的风险权限额度内；对于投资结果建立科学的投资管理业绩评价体系。</w:t>
      </w:r>
    </w:p>
    <w:p w14:paraId="5F11AB69">
      <w:pPr>
        <w:spacing w:line="360" w:lineRule="auto"/>
        <w:ind w:firstLine="480" w:firstLineChars="200"/>
        <w:jc w:val="both"/>
        <w:rPr>
          <w:bCs/>
          <w:sz w:val="24"/>
          <w:lang w:eastAsia="zh-CN"/>
        </w:rPr>
      </w:pPr>
      <w:r>
        <w:rPr>
          <w:rFonts w:hint="eastAsia"/>
          <w:bCs/>
          <w:sz w:val="24"/>
          <w:lang w:eastAsia="zh-CN"/>
        </w:rPr>
        <w:t>（4）</w:t>
      </w:r>
      <w:r>
        <w:rPr>
          <w:bCs/>
          <w:sz w:val="24"/>
          <w:lang w:eastAsia="zh-CN"/>
        </w:rPr>
        <w:t>交易业务</w:t>
      </w:r>
    </w:p>
    <w:p w14:paraId="137A2A19">
      <w:pPr>
        <w:spacing w:line="360" w:lineRule="auto"/>
        <w:ind w:firstLine="480" w:firstLineChars="200"/>
        <w:jc w:val="both"/>
        <w:rPr>
          <w:bCs/>
          <w:sz w:val="24"/>
          <w:lang w:eastAsia="zh-CN"/>
        </w:rPr>
      </w:pPr>
      <w:r>
        <w:rPr>
          <w:bCs/>
          <w:sz w:val="24"/>
          <w:lang w:eastAsia="zh-CN"/>
        </w:rPr>
        <w:t>建立集中交易室和集中交易制度，投资指令通过集中交易室完成；建立交易监测系统、预警系统和交易反馈系统，完善相关的安全设施；集中交易室对交易指令进行审核，建立公平的交易分配制度，确保各基金利益的公平；交易记录应完善，并及时进行反馈、核对和存档保管；同时应建立科学的投资交易绩效评价体系。</w:t>
      </w:r>
    </w:p>
    <w:p w14:paraId="73C9AC53">
      <w:pPr>
        <w:spacing w:line="360" w:lineRule="auto"/>
        <w:ind w:firstLine="480" w:firstLineChars="200"/>
        <w:jc w:val="both"/>
        <w:rPr>
          <w:bCs/>
          <w:sz w:val="24"/>
          <w:lang w:eastAsia="zh-CN"/>
        </w:rPr>
      </w:pPr>
      <w:r>
        <w:rPr>
          <w:rFonts w:hint="eastAsia"/>
          <w:bCs/>
          <w:sz w:val="24"/>
          <w:lang w:eastAsia="zh-CN"/>
        </w:rPr>
        <w:t>（5）</w:t>
      </w:r>
      <w:r>
        <w:rPr>
          <w:bCs/>
          <w:sz w:val="24"/>
          <w:lang w:eastAsia="zh-CN"/>
        </w:rPr>
        <w:t>基金会计核算</w:t>
      </w:r>
    </w:p>
    <w:p w14:paraId="5B8D35D6">
      <w:pPr>
        <w:spacing w:line="360" w:lineRule="auto"/>
        <w:ind w:firstLine="480" w:firstLineChars="200"/>
        <w:jc w:val="both"/>
        <w:rPr>
          <w:bCs/>
          <w:sz w:val="24"/>
          <w:lang w:eastAsia="zh-CN"/>
        </w:rPr>
      </w:pPr>
      <w:r>
        <w:rPr>
          <w:bCs/>
          <w:sz w:val="24"/>
          <w:lang w:eastAsia="zh-CN"/>
        </w:rPr>
        <w:t>公司根据法律法规及业务的要求建立会计制度，并根据风险控制点建立严密的会计系统，对于不同基金独立建账，独立核算；公司通过复核制度、凭证制度、合理的估值方法和估值程序等会计措施真实、完整、及时地记载每一笔业务并正确进行会计核算和业务核算。同时还建立会计档案保管制度，确保档案真实完整。</w:t>
      </w:r>
    </w:p>
    <w:p w14:paraId="3D789E40">
      <w:pPr>
        <w:spacing w:line="360" w:lineRule="auto"/>
        <w:ind w:firstLine="480" w:firstLineChars="200"/>
        <w:jc w:val="both"/>
        <w:rPr>
          <w:bCs/>
          <w:sz w:val="24"/>
          <w:lang w:eastAsia="zh-CN"/>
        </w:rPr>
      </w:pPr>
      <w:r>
        <w:rPr>
          <w:rFonts w:hint="eastAsia"/>
          <w:bCs/>
          <w:sz w:val="24"/>
          <w:lang w:eastAsia="zh-CN"/>
        </w:rPr>
        <w:t>（6）</w:t>
      </w:r>
      <w:r>
        <w:rPr>
          <w:bCs/>
          <w:sz w:val="24"/>
          <w:lang w:eastAsia="zh-CN"/>
        </w:rPr>
        <w:t>信息披露</w:t>
      </w:r>
    </w:p>
    <w:p w14:paraId="4FF3CBC3">
      <w:pPr>
        <w:spacing w:line="360" w:lineRule="auto"/>
        <w:ind w:firstLine="480" w:firstLineChars="200"/>
        <w:jc w:val="both"/>
        <w:rPr>
          <w:bCs/>
          <w:sz w:val="24"/>
          <w:lang w:eastAsia="zh-CN"/>
        </w:rPr>
      </w:pPr>
      <w:r>
        <w:rPr>
          <w:bCs/>
          <w:sz w:val="24"/>
          <w:lang w:eastAsia="zh-CN"/>
        </w:rPr>
        <w:t>公司建立了完善的信息披露制度，保证公开披露的信息真实、准确、完整。公司设立了信息披露负责人，并建立了相应的程序进行信息的收集、组织、审核和发布工作，以此加强对信息的审查核对，使所公布的信息符合法律法规的规定，同时加强对信息披露的检查和评价，对存在的问题及时提出改进办法。</w:t>
      </w:r>
    </w:p>
    <w:p w14:paraId="37B97AC4">
      <w:pPr>
        <w:spacing w:line="360" w:lineRule="auto"/>
        <w:ind w:firstLine="480" w:firstLineChars="200"/>
        <w:jc w:val="both"/>
        <w:rPr>
          <w:bCs/>
          <w:sz w:val="24"/>
          <w:lang w:eastAsia="zh-CN"/>
        </w:rPr>
      </w:pPr>
      <w:r>
        <w:rPr>
          <w:rFonts w:hint="eastAsia"/>
          <w:bCs/>
          <w:sz w:val="24"/>
          <w:lang w:eastAsia="zh-CN"/>
        </w:rPr>
        <w:t>（7）</w:t>
      </w:r>
      <w:r>
        <w:rPr>
          <w:bCs/>
          <w:sz w:val="24"/>
          <w:lang w:eastAsia="zh-CN"/>
        </w:rPr>
        <w:t>监察与合规管理</w:t>
      </w:r>
    </w:p>
    <w:p w14:paraId="0053459C">
      <w:pPr>
        <w:spacing w:line="360" w:lineRule="auto"/>
        <w:ind w:firstLine="480" w:firstLineChars="200"/>
        <w:jc w:val="both"/>
        <w:rPr>
          <w:bCs/>
          <w:sz w:val="24"/>
          <w:lang w:eastAsia="zh-CN"/>
        </w:rPr>
      </w:pPr>
      <w:r>
        <w:rPr>
          <w:bCs/>
          <w:sz w:val="24"/>
          <w:lang w:eastAsia="zh-CN"/>
        </w:rPr>
        <w:t>公司设立督察长，经董事会聘任，报中国证监会核准。根据公司监察与合规管理工作的需要和董事会授权，督察长可以列席公司相关会议，调阅公司相关档案，就内部控制制度的执行情况独立地履行检查、评价、报告、建议职能。督察长定期和不定期向董事会报告公司内部控制执行情况，董事会对督察长的报告进行审议。</w:t>
      </w:r>
    </w:p>
    <w:p w14:paraId="68E92AEC">
      <w:pPr>
        <w:spacing w:line="360" w:lineRule="auto"/>
        <w:ind w:firstLine="480" w:firstLineChars="200"/>
        <w:jc w:val="both"/>
        <w:rPr>
          <w:bCs/>
          <w:sz w:val="24"/>
          <w:lang w:eastAsia="zh-CN"/>
        </w:rPr>
      </w:pPr>
      <w:r>
        <w:rPr>
          <w:bCs/>
          <w:sz w:val="24"/>
          <w:lang w:eastAsia="zh-CN"/>
        </w:rPr>
        <w:t>公司设立</w:t>
      </w:r>
      <w:r>
        <w:rPr>
          <w:rFonts w:hint="eastAsia"/>
          <w:bCs/>
          <w:sz w:val="24"/>
          <w:lang w:eastAsia="zh-CN"/>
        </w:rPr>
        <w:t>法律合规/监察稽核部</w:t>
      </w:r>
      <w:r>
        <w:rPr>
          <w:bCs/>
          <w:sz w:val="24"/>
          <w:lang w:eastAsia="zh-CN"/>
        </w:rPr>
        <w:t>开展监察与合规管理工作，并保证</w:t>
      </w:r>
      <w:r>
        <w:rPr>
          <w:rFonts w:hint="eastAsia"/>
          <w:bCs/>
          <w:sz w:val="24"/>
          <w:lang w:eastAsia="zh-CN"/>
        </w:rPr>
        <w:t>法律合规/监察稽核部</w:t>
      </w:r>
      <w:r>
        <w:rPr>
          <w:bCs/>
          <w:sz w:val="24"/>
          <w:lang w:eastAsia="zh-CN"/>
        </w:rPr>
        <w:t>的独立性和权威性。公司明确了</w:t>
      </w:r>
      <w:r>
        <w:rPr>
          <w:rFonts w:hint="eastAsia"/>
          <w:bCs/>
          <w:sz w:val="24"/>
          <w:lang w:eastAsia="zh-CN"/>
        </w:rPr>
        <w:t>法律合规/监察稽核部</w:t>
      </w:r>
      <w:r>
        <w:rPr>
          <w:bCs/>
          <w:sz w:val="24"/>
          <w:lang w:eastAsia="zh-CN"/>
        </w:rPr>
        <w:t>及内部各岗位的具体职责，严格制订了专业任职条件、操作程序和组织纪律。</w:t>
      </w:r>
    </w:p>
    <w:p w14:paraId="2A3BB38F">
      <w:pPr>
        <w:spacing w:line="360" w:lineRule="auto"/>
        <w:ind w:firstLine="480" w:firstLineChars="200"/>
        <w:jc w:val="both"/>
        <w:rPr>
          <w:bCs/>
          <w:sz w:val="24"/>
          <w:lang w:eastAsia="zh-CN"/>
        </w:rPr>
      </w:pPr>
      <w:r>
        <w:rPr>
          <w:rFonts w:hint="eastAsia"/>
          <w:bCs/>
          <w:sz w:val="24"/>
          <w:lang w:eastAsia="zh-CN"/>
        </w:rPr>
        <w:t>法律合规/监察稽核部</w:t>
      </w:r>
      <w:r>
        <w:rPr>
          <w:bCs/>
          <w:sz w:val="24"/>
          <w:lang w:eastAsia="zh-CN"/>
        </w:rPr>
        <w:t>强化内部检查制度，通过定期或不定期检查内部控制制度的执行情况，促使公司各项经营管理活动的规范运行。</w:t>
      </w:r>
    </w:p>
    <w:p w14:paraId="2F85A291">
      <w:pPr>
        <w:spacing w:line="360" w:lineRule="auto"/>
        <w:ind w:firstLine="480" w:firstLineChars="200"/>
        <w:jc w:val="both"/>
        <w:rPr>
          <w:bCs/>
          <w:sz w:val="24"/>
          <w:lang w:eastAsia="zh-CN"/>
        </w:rPr>
      </w:pPr>
      <w:r>
        <w:rPr>
          <w:bCs/>
          <w:sz w:val="24"/>
          <w:lang w:eastAsia="zh-CN"/>
        </w:rPr>
        <w:t>公司董事会和管理层充分重视和支持监察与合规管理工作，对违反法律、法规和公司内部控制制度的，追究有关部门和人员的责任。</w:t>
      </w:r>
    </w:p>
    <w:p w14:paraId="590EF4C3">
      <w:pPr>
        <w:spacing w:line="360" w:lineRule="auto"/>
        <w:ind w:firstLine="480" w:firstLineChars="200"/>
        <w:jc w:val="both"/>
        <w:rPr>
          <w:bCs/>
          <w:sz w:val="24"/>
          <w:lang w:eastAsia="zh-CN"/>
        </w:rPr>
      </w:pPr>
      <w:r>
        <w:rPr>
          <w:bCs/>
          <w:sz w:val="24"/>
          <w:lang w:eastAsia="zh-CN"/>
        </w:rPr>
        <w:t>5、基金管理人关于内部控制制度声明书</w:t>
      </w:r>
    </w:p>
    <w:p w14:paraId="7653321F">
      <w:pPr>
        <w:spacing w:line="360" w:lineRule="auto"/>
        <w:ind w:firstLine="480" w:firstLineChars="200"/>
        <w:jc w:val="both"/>
        <w:rPr>
          <w:bCs/>
          <w:sz w:val="24"/>
          <w:lang w:eastAsia="zh-CN"/>
        </w:rPr>
      </w:pPr>
      <w:r>
        <w:rPr>
          <w:bCs/>
          <w:sz w:val="24"/>
          <w:lang w:eastAsia="zh-CN"/>
        </w:rPr>
        <w:t>基金管理人承诺以上关于内部控制制度的披露真实、准确；</w:t>
      </w:r>
    </w:p>
    <w:p w14:paraId="2C30C3D8">
      <w:pPr>
        <w:spacing w:line="360" w:lineRule="auto"/>
        <w:ind w:firstLine="480" w:firstLineChars="200"/>
        <w:jc w:val="both"/>
        <w:rPr>
          <w:bCs/>
          <w:sz w:val="24"/>
          <w:lang w:eastAsia="zh-CN"/>
        </w:rPr>
      </w:pPr>
      <w:r>
        <w:rPr>
          <w:bCs/>
          <w:sz w:val="24"/>
          <w:lang w:eastAsia="zh-CN"/>
        </w:rPr>
        <w:t>基金管理人承诺根据市场变化和公司业务发展不断完善内部控制制度。</w:t>
      </w:r>
    </w:p>
    <w:p w14:paraId="2C6241E9">
      <w:pPr>
        <w:rPr>
          <w:sz w:val="21"/>
          <w:lang w:eastAsia="zh-CN"/>
        </w:rPr>
      </w:pPr>
      <w:r>
        <w:rPr>
          <w:sz w:val="21"/>
          <w:lang w:eastAsia="zh-CN"/>
        </w:rPr>
        <w:br w:type="page"/>
      </w:r>
    </w:p>
    <w:p w14:paraId="6BE4B41C">
      <w:pPr>
        <w:pStyle w:val="2"/>
        <w:keepNext/>
        <w:keepLines/>
        <w:autoSpaceDE/>
        <w:autoSpaceDN/>
        <w:spacing w:before="0" w:line="360" w:lineRule="auto"/>
        <w:ind w:left="0"/>
        <w:jc w:val="center"/>
        <w:rPr>
          <w:rFonts w:ascii="Times New Roman" w:hAnsi="Times New Roman" w:cs="Times New Roman"/>
          <w:b/>
          <w:color w:val="000000"/>
          <w:szCs w:val="20"/>
          <w:lang w:eastAsia="zh-CN" w:bidi="ar-SA"/>
        </w:rPr>
      </w:pPr>
      <w:bookmarkStart w:id="25" w:name="_bookmark3"/>
      <w:bookmarkEnd w:id="25"/>
      <w:bookmarkStart w:id="26" w:name="_Toc69831242"/>
      <w:r>
        <w:rPr>
          <w:rFonts w:ascii="Times New Roman" w:hAnsi="Times New Roman" w:cs="Times New Roman"/>
          <w:b/>
          <w:color w:val="000000"/>
          <w:szCs w:val="20"/>
          <w:lang w:eastAsia="zh-CN" w:bidi="ar-SA"/>
        </w:rPr>
        <w:t>第四部分</w:t>
      </w:r>
      <w:r>
        <w:rPr>
          <w:rFonts w:hint="eastAsia" w:ascii="Times New Roman" w:hAnsi="Times New Roman" w:cs="Times New Roman"/>
          <w:b/>
          <w:color w:val="000000"/>
          <w:szCs w:val="20"/>
          <w:lang w:eastAsia="zh-CN" w:bidi="ar-SA"/>
        </w:rPr>
        <w:t xml:space="preserve">  </w:t>
      </w:r>
      <w:r>
        <w:rPr>
          <w:rFonts w:ascii="Times New Roman" w:hAnsi="Times New Roman" w:cs="Times New Roman"/>
          <w:b/>
          <w:color w:val="000000"/>
          <w:szCs w:val="20"/>
          <w:lang w:eastAsia="zh-CN" w:bidi="ar-SA"/>
        </w:rPr>
        <w:t>基金托管人</w:t>
      </w:r>
      <w:bookmarkEnd w:id="26"/>
    </w:p>
    <w:p w14:paraId="503F3AC4">
      <w:pPr>
        <w:spacing w:line="360" w:lineRule="auto"/>
        <w:ind w:firstLine="480" w:firstLineChars="200"/>
        <w:rPr>
          <w:bCs/>
          <w:sz w:val="24"/>
          <w:lang w:eastAsia="zh-CN"/>
        </w:rPr>
      </w:pPr>
    </w:p>
    <w:p w14:paraId="1839E71A">
      <w:pPr>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一、基金托管人情况</w:t>
      </w:r>
    </w:p>
    <w:p w14:paraId="6EF6307A">
      <w:pPr>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（一）基本情况</w:t>
      </w:r>
    </w:p>
    <w:p w14:paraId="3F9536C5">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本基金托管人为上海浦东发展银行股份有限公司，基本信息如下：</w:t>
      </w:r>
    </w:p>
    <w:p w14:paraId="0019B88E">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名称： 上海浦东发展银行股份有限公司</w:t>
      </w:r>
    </w:p>
    <w:p w14:paraId="3B4C1E86">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注册地址：上海市中山东一路12号</w:t>
      </w:r>
    </w:p>
    <w:p w14:paraId="16D3D18A">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办公地址：上海市博成路1388号浦银中心A栋</w:t>
      </w:r>
    </w:p>
    <w:p w14:paraId="3D28FD88">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法定代表人：张为忠</w:t>
      </w:r>
    </w:p>
    <w:p w14:paraId="1899C793">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成立时间：1992年10月19日</w:t>
      </w:r>
    </w:p>
    <w:p w14:paraId="66CBD372">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经营范围：经中国人民银行和中国银行业监督管理委员会批准，公司主营业务主要包括：吸收公众存款；发放短期、中期和长期贷款；办理结算；办理票据贴现；发行金融债券；代理发行、代理兑付、承销政府债券；买卖政府债券；同业拆借；提供信用证服务及担保；代理收付款项及代理保险业务；提供保险箱业务；外汇存款；外汇贷款；外汇汇款；外币兑换；国际结算；同业外汇拆借；外汇票据的承兑和贴现；外汇借款；外汇担保；结汇、售汇；买卖和代理买卖股票以外的外币有价证券；自营外汇买卖；代客外汇买卖；资信调查、咨询、见证业务；离岸银行业务；证券投资基金托管业务；全国社会保障基金托管业务；经中国人民银行和中国银行业监督管理委员会批准经营的其他业务。</w:t>
      </w:r>
    </w:p>
    <w:p w14:paraId="1D00833C">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组织形式：股份有限公司（</w:t>
      </w:r>
      <w:r>
        <w:rPr>
          <w:rFonts w:hint="eastAsia" w:asciiTheme="minorEastAsia" w:hAnsiTheme="minorEastAsia" w:eastAsiaTheme="minorEastAsia"/>
          <w:sz w:val="24"/>
          <w:szCs w:val="24"/>
          <w:lang w:val="en-US" w:eastAsia="zh-CN"/>
        </w:rPr>
        <w:t>上市</w:t>
      </w:r>
      <w:r>
        <w:rPr>
          <w:rFonts w:hint="eastAsia" w:asciiTheme="minorEastAsia" w:hAnsiTheme="minorEastAsia" w:eastAsiaTheme="minorEastAsia"/>
          <w:sz w:val="24"/>
          <w:szCs w:val="24"/>
          <w:lang w:eastAsia="zh-CN"/>
        </w:rPr>
        <w:t>）</w:t>
      </w:r>
    </w:p>
    <w:p w14:paraId="215C44EA">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注册资本：293.52亿元人民币</w:t>
      </w:r>
    </w:p>
    <w:p w14:paraId="25309115">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存续期间： 持续经营</w:t>
      </w:r>
    </w:p>
    <w:p w14:paraId="16277076">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基金托管资格批文及文号：中国证监会证监基金字[2003]105号</w:t>
      </w:r>
    </w:p>
    <w:p w14:paraId="24A5BF8C">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联系人：汪小敏</w:t>
      </w:r>
    </w:p>
    <w:p w14:paraId="7A74B2EB">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联系电话：（021）31888888</w:t>
      </w:r>
    </w:p>
    <w:p w14:paraId="5CD3CFA5">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上海浦东发展银行自2003年开展资产托管业务，是较早开展银行资产托管服务的股份制商业银行之一。经过二十年来的稳健经营和业务开拓，各项业务发展一直保持较快增长，各项经营指标在股份制商业银行中处于较好水平。</w:t>
      </w:r>
    </w:p>
    <w:p w14:paraId="6E533350">
      <w:pPr>
        <w:spacing w:line="360" w:lineRule="auto"/>
        <w:ind w:firstLine="480" w:firstLineChars="200"/>
        <w:rPr>
          <w:rFonts w:hint="eastAsia" w:asciiTheme="minorEastAsia" w:hAnsiTheme="minorEastAsia" w:eastAsiaTheme="minorEastAsia"/>
          <w:kern w:val="0"/>
          <w:sz w:val="24"/>
          <w:szCs w:val="24"/>
          <w:lang w:eastAsia="zh-CN"/>
        </w:rPr>
      </w:pPr>
      <w:r>
        <w:rPr>
          <w:rFonts w:hint="eastAsia" w:asciiTheme="minorEastAsia" w:hAnsiTheme="minorEastAsia" w:eastAsiaTheme="minorEastAsia"/>
          <w:sz w:val="24"/>
          <w:szCs w:val="24"/>
          <w:lang w:eastAsia="zh-CN"/>
        </w:rPr>
        <w:t>上海浦东发展银行总行于2003年设立基金托管部，2005年更名为资产托管部，2013年更名为资产托管与养老金业务部，2016年进行组织架构优化调整，并更名为资产托管部，目前下设证券托管处、客户资产托管处、养老金业务处、内控管理处、业务保障处、总行资产托管运营中心（含合肥分中心）六个职能处室。</w:t>
      </w:r>
    </w:p>
    <w:p w14:paraId="796FFC91">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目前，上海浦东发展银行已拥有客户资金托管、资金信托保管、证券投资基金托管、全球资产托管、保险资金托管、基金专户理财托管、证券公司客户资产托管、期货公司客户资产托管、私募证券投资基金托管、私募股权托管、银行理财产品托管、企业年金托管等多项托管产品，形成完备的产品体系，可满足多领域客户、境内外市场的资产托管需求。</w:t>
      </w:r>
    </w:p>
    <w:p w14:paraId="0D28852A">
      <w:pPr>
        <w:spacing w:line="360" w:lineRule="auto"/>
        <w:ind w:firstLine="480" w:firstLineChars="200"/>
        <w:rPr>
          <w:rFonts w:hint="eastAsia" w:asciiTheme="minorEastAsia" w:hAnsiTheme="minorEastAsia" w:eastAsiaTheme="minorEastAsia"/>
          <w:b w:val="0"/>
          <w:sz w:val="24"/>
          <w:szCs w:val="24"/>
          <w:lang w:eastAsia="zh-CN"/>
        </w:rPr>
      </w:pPr>
      <w:r>
        <w:rPr>
          <w:rFonts w:hint="eastAsia" w:asciiTheme="minorEastAsia" w:hAnsiTheme="minorEastAsia" w:eastAsiaTheme="minorEastAsia"/>
          <w:b w:val="0"/>
          <w:sz w:val="24"/>
          <w:szCs w:val="24"/>
          <w:lang w:eastAsia="zh-CN"/>
        </w:rPr>
        <w:t>（二）主要人员情况</w:t>
      </w:r>
    </w:p>
    <w:p w14:paraId="23E6B89E">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张为忠，男，1967年出生，硕士研究生。曾任中国建设银行大连市分行开发区分行行长，中国建设银行内蒙古总审计室总审计师兼主任，中国建设银行湖北省分行纪委书记、副行长、党委委员，中国建设银行普惠金融事业部（小企业业务部）总经理，中国建设银行公司业务总监。现任中共上海浦东发展银行股份有限公司委员会书记、董事长。</w:t>
      </w:r>
    </w:p>
    <w:p w14:paraId="453D19CD">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李国光，男，1967年出生，硕士研究生。历任上海浦东发展银行天津分行资财部总经理，天津分行行长助理、副行长，总行资金总部副总经理，总行资产负债管理委员会主任，总行清算作业部总经理，沈阳分行党委书记、行长。现任上海浦东发展银行总行资产托管部总经理。</w:t>
      </w:r>
    </w:p>
    <w:p w14:paraId="3228BE4A">
      <w:pPr>
        <w:spacing w:line="360" w:lineRule="auto"/>
        <w:ind w:firstLine="480" w:firstLineChars="200"/>
        <w:rPr>
          <w:rFonts w:hint="eastAsia" w:asciiTheme="minorEastAsia" w:hAnsiTheme="minorEastAsia" w:eastAsiaTheme="minorEastAsia"/>
          <w:b w:val="0"/>
          <w:sz w:val="24"/>
          <w:szCs w:val="24"/>
          <w:lang w:eastAsia="zh-CN"/>
        </w:rPr>
      </w:pPr>
      <w:r>
        <w:rPr>
          <w:rFonts w:hint="eastAsia" w:asciiTheme="minorEastAsia" w:hAnsiTheme="minorEastAsia" w:eastAsiaTheme="minorEastAsia"/>
          <w:b w:val="0"/>
          <w:sz w:val="24"/>
          <w:szCs w:val="24"/>
          <w:lang w:eastAsia="zh-CN"/>
        </w:rPr>
        <w:t>（三）基金托管业务经营情况</w:t>
      </w:r>
    </w:p>
    <w:p w14:paraId="45682242">
      <w:pPr>
        <w:autoSpaceDE/>
        <w:autoSpaceDN/>
        <w:spacing w:line="360" w:lineRule="auto"/>
        <w:ind w:firstLine="480" w:firstLineChars="200"/>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截止202</w:t>
      </w:r>
      <w:r>
        <w:rPr>
          <w:rFonts w:hint="eastAsia" w:asciiTheme="minorEastAsia" w:hAnsiTheme="minorEastAsia" w:eastAsiaTheme="minorEastAsia"/>
          <w:sz w:val="24"/>
          <w:szCs w:val="24"/>
          <w:lang w:val="en-US" w:eastAsia="zh-CN"/>
        </w:rPr>
        <w:t>6</w:t>
      </w:r>
      <w:r>
        <w:rPr>
          <w:rFonts w:hint="eastAsia" w:asciiTheme="minorEastAsia" w:hAnsiTheme="minorEastAsia" w:eastAsiaTheme="minorEastAsia"/>
          <w:sz w:val="24"/>
          <w:szCs w:val="24"/>
          <w:lang w:eastAsia="zh-CN"/>
        </w:rPr>
        <w:t>年3月31日，上海浦东发展银行证券投资基金托管规模为1</w:t>
      </w:r>
      <w:r>
        <w:rPr>
          <w:rFonts w:hint="eastAsia" w:asciiTheme="minorEastAsia" w:hAnsiTheme="minorEastAsia" w:eastAsiaTheme="minorEastAsia"/>
          <w:sz w:val="24"/>
          <w:szCs w:val="24"/>
          <w:lang w:val="en-US" w:eastAsia="zh-CN"/>
        </w:rPr>
        <w:t>6,599</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lang w:val="en-US" w:eastAsia="zh-CN"/>
        </w:rPr>
        <w:t>55</w:t>
      </w:r>
      <w:r>
        <w:rPr>
          <w:rFonts w:hint="eastAsia" w:asciiTheme="minorEastAsia" w:hAnsiTheme="minorEastAsia" w:eastAsiaTheme="minorEastAsia"/>
          <w:sz w:val="24"/>
          <w:szCs w:val="24"/>
          <w:lang w:eastAsia="zh-CN"/>
        </w:rPr>
        <w:t>亿元，托管证券投资基金共</w:t>
      </w:r>
      <w:r>
        <w:rPr>
          <w:rFonts w:hint="eastAsia" w:asciiTheme="minorEastAsia" w:hAnsiTheme="minorEastAsia" w:eastAsiaTheme="minorEastAsia"/>
          <w:sz w:val="24"/>
          <w:szCs w:val="24"/>
          <w:lang w:val="en-US" w:eastAsia="zh-CN"/>
        </w:rPr>
        <w:t>541</w:t>
      </w:r>
      <w:r>
        <w:rPr>
          <w:rFonts w:hint="eastAsia" w:asciiTheme="minorEastAsia" w:hAnsiTheme="minorEastAsia" w:eastAsiaTheme="minorEastAsia"/>
          <w:sz w:val="24"/>
          <w:szCs w:val="24"/>
          <w:lang w:eastAsia="zh-CN"/>
        </w:rPr>
        <w:t>只。</w:t>
      </w:r>
    </w:p>
    <w:p w14:paraId="4FF371A7">
      <w:pPr>
        <w:spacing w:line="360" w:lineRule="auto"/>
        <w:ind w:firstLine="480" w:firstLineChars="200"/>
        <w:rPr>
          <w:rFonts w:hint="eastAsia" w:asciiTheme="minorEastAsia" w:hAnsiTheme="minorEastAsia" w:eastAsiaTheme="minorEastAsia"/>
          <w:b w:val="0"/>
          <w:sz w:val="24"/>
          <w:szCs w:val="24"/>
          <w:lang w:eastAsia="zh-CN"/>
        </w:rPr>
      </w:pPr>
      <w:r>
        <w:rPr>
          <w:rFonts w:hint="eastAsia" w:asciiTheme="minorEastAsia" w:hAnsiTheme="minorEastAsia" w:eastAsiaTheme="minorEastAsia"/>
          <w:b w:val="0"/>
          <w:sz w:val="24"/>
          <w:szCs w:val="24"/>
          <w:lang w:eastAsia="zh-CN"/>
        </w:rPr>
        <w:t>（四）基金托管人的内部控制制度</w:t>
      </w:r>
    </w:p>
    <w:p w14:paraId="35CD616B">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本行内部控制目标为：确保经营活动中严格遵守国家有关法律法规、监管部门监管规则和本行规章制度，形成守法经营、规范运作的经营思想。确保经营业务的稳健运行，保证基金资产的安全和完整，确保业务活动信息的真实、准确、完整，保护基金份额持有人的合法权益。</w:t>
      </w:r>
    </w:p>
    <w:p w14:paraId="1B0E939F">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本行内部控制组织架构为：总行法律合规部是全行内部控制的牵头管理部门，指导业务部门建立并维护资产托管业务的内部控制体系。总行风险监控部是全行操作风险的牵头管理部门。指导业务部门开展资产托管业务的操作风险管控工作。总行资产托管部下设内控管理处。内控管理处是全行托管业务条线的内部控制具体管理实施机构，并配备专职内控监督人员负责托管业务的内控监督工作，独立行使监督稽核职责。</w:t>
      </w:r>
    </w:p>
    <w:p w14:paraId="0E83F454">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3、内部控制制度及措施: 本行已建立完善的内部控制制度。内控制度贯穿资产托管业务的决策、执行、监督全过程，渗透到各业务流程和各操作环节，覆盖到从事资产托管各级组织结构、岗位及人员。内部控制以防范风险、合规经营为出发点，各项业务流程体现“内控优先”要求。</w:t>
      </w:r>
    </w:p>
    <w:p w14:paraId="1D4A9C65">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具体内控措施包括：培育员工树立内控优先、制度先行、全员化风险控制的风险管理理念，营造浓厚的内控文化氛围，使风险意识贯穿到组织架构、业务岗位、人员的各个环节。制定权责清晰的业务授权管理制度、明确岗位职责和各项操作规程、员工职业道德规范、业务数据备份和保密等在内的各项业务管理制度；建立严格完善的资产隔离和资产保管制度，托管资产与托管人资产及不同托管资产之间实行独立运作、分别核算；对各类突发事件或故障，建立完备有效的应急方案，定期组织灾备演练，建立重大事项报告制度；在基金运作办公区域建立健全安全监控系统，利用录音、录像等技术手段实现风险控制；定期对业务情况进行自查、内部稽核等措施进行监控，通过专项/全面审计等措施实施业务监控，排查风险隐患。</w:t>
      </w:r>
    </w:p>
    <w:p w14:paraId="46652E94">
      <w:pPr>
        <w:spacing w:line="360" w:lineRule="auto"/>
        <w:ind w:firstLine="480" w:firstLineChars="200"/>
        <w:rPr>
          <w:rFonts w:hint="eastAsia" w:asciiTheme="minorEastAsia" w:hAnsiTheme="minorEastAsia" w:eastAsiaTheme="minorEastAsia"/>
          <w:b w:val="0"/>
          <w:sz w:val="24"/>
          <w:szCs w:val="24"/>
          <w:lang w:eastAsia="zh-CN"/>
        </w:rPr>
      </w:pPr>
      <w:r>
        <w:rPr>
          <w:rFonts w:hint="eastAsia" w:asciiTheme="minorEastAsia" w:hAnsiTheme="minorEastAsia" w:eastAsiaTheme="minorEastAsia"/>
          <w:b w:val="0"/>
          <w:sz w:val="24"/>
          <w:szCs w:val="24"/>
          <w:lang w:eastAsia="zh-CN"/>
        </w:rPr>
        <w:t>（五）托管人对管理人运作基金进行监督的方法和程序</w:t>
      </w:r>
    </w:p>
    <w:p w14:paraId="4A115425">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1、监督依据</w:t>
      </w:r>
    </w:p>
    <w:p w14:paraId="30F7EC81">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托管人严格按照有关政策法规、以及基金合同、托管协议等进行监督。监督依据具体包括：</w:t>
      </w:r>
    </w:p>
    <w:p w14:paraId="44B3D3CF">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（1）《中华人民共和国证券法》；</w:t>
      </w:r>
    </w:p>
    <w:p w14:paraId="4ED4D51D">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（2）《中华人民共和国证券投资基金法》；</w:t>
      </w:r>
    </w:p>
    <w:p w14:paraId="0553C712">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（3）《公开募集证券投资基金运作管理办法》；；</w:t>
      </w:r>
    </w:p>
    <w:p w14:paraId="595760B3">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（4）《公开募集证券投资基金销售机构监督管理办法》</w:t>
      </w:r>
    </w:p>
    <w:p w14:paraId="294589EA">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（5）《基金合同》、《基金托管协议》；</w:t>
      </w:r>
    </w:p>
    <w:p w14:paraId="6459A646">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（6）法律、法规、政策的其他规定。</w:t>
      </w:r>
    </w:p>
    <w:p w14:paraId="5346CCC3">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2、监督内容</w:t>
      </w:r>
    </w:p>
    <w:p w14:paraId="72E08C25">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    我行根据基金合同及托管协议约定，对基金合同生效之后所托管基金的投资范围、投资比例、投资限制等进行严格监督，及时提示基金管理人违规风险。</w:t>
      </w:r>
    </w:p>
    <w:p w14:paraId="15F9D31D">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3、监督方法</w:t>
      </w:r>
    </w:p>
    <w:p w14:paraId="6286E349">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（1）资产托管部设置核算监督岗位，配备相应的业务人员，在授权范围内独立行使对基金管理人投资交易行为的监督职责，规范基金运作，维护基金投资人的合法权益，不受任何外界力量的干预；</w:t>
      </w:r>
    </w:p>
    <w:p w14:paraId="47680A0D">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（2）在日常运作中，凡可量化的监督指标，由核算监督岗通过托管业务的自动处理程序进行监督，实现系统的自动跟踪和预警；</w:t>
      </w:r>
    </w:p>
    <w:p w14:paraId="4A945D7E">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（3）对非量化指标、投资指令、管理人提供的各种报表和报告等，采取人工监督的方法。</w:t>
      </w:r>
    </w:p>
    <w:p w14:paraId="600E35C9">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4、监督结果的处理方式</w:t>
      </w:r>
    </w:p>
    <w:p w14:paraId="00EA5414">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（1）基金托管人对基金管理人的投资运作监督结果，采取定期和不定期报告形式向基金管理人和中国证监会报告。定期报告包括基金监控周报等。不定期报告包括提示函、临时日报、其他临时报告等；</w:t>
      </w:r>
    </w:p>
    <w:p w14:paraId="0F7B3EB6">
      <w:pPr>
        <w:spacing w:line="360" w:lineRule="auto"/>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若基金托管人发现基金管理人违规违法操作，以电话、邮件、书面提示函的方式通知基金管理人，指明违规事项，明确纠正期限。在规定期限内基金托管人再对基金管理人违规事项进行复查，如果基金管理人对违规事项未予纠正，基金托管人将报告中国证监会。如果发现基金管理人投资运作有重大违规行为时，基金托管人应立即报告中国证监会，同时通知基金管理人限期纠正；</w:t>
      </w:r>
    </w:p>
    <w:p w14:paraId="51909834">
      <w:pPr>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（3）针对中国证监会、中国人民银行对基金投资运作监督情况的检查，应及时提供有关情况和资料。</w:t>
      </w:r>
    </w:p>
    <w:p w14:paraId="37FED954">
      <w:pPr>
        <w:spacing w:line="360" w:lineRule="auto"/>
        <w:rPr>
          <w:rFonts w:ascii="微软雅黑" w:hAnsi="微软雅黑" w:eastAsia="微软雅黑"/>
          <w:color w:val="333333"/>
          <w:lang w:eastAsia="zh-CN"/>
        </w:rPr>
      </w:pPr>
    </w:p>
    <w:p w14:paraId="18831D4E">
      <w:pPr>
        <w:spacing w:line="360" w:lineRule="auto"/>
        <w:rPr>
          <w:rFonts w:ascii="微软雅黑" w:hAnsi="微软雅黑" w:eastAsia="微软雅黑"/>
          <w:color w:val="333333"/>
          <w:lang w:eastAsia="zh-CN"/>
        </w:rPr>
        <w:sectPr>
          <w:footerReference r:id="rId8" w:type="default"/>
          <w:pgSz w:w="11910" w:h="16840"/>
          <w:pgMar w:top="1440" w:right="1800" w:bottom="1440" w:left="1800" w:header="873" w:footer="991" w:gutter="0"/>
          <w:cols w:space="720" w:num="1"/>
        </w:sectPr>
      </w:pPr>
    </w:p>
    <w:p w14:paraId="04560B64">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27" w:name="_bookmark4"/>
      <w:bookmarkEnd w:id="27"/>
      <w:bookmarkStart w:id="28" w:name="_Toc69831243"/>
      <w:r>
        <w:rPr>
          <w:rFonts w:ascii="Times New Roman" w:hAnsi="Times New Roman" w:cs="Times New Roman"/>
          <w:b/>
          <w:szCs w:val="20"/>
          <w:lang w:eastAsia="zh-CN" w:bidi="ar-SA"/>
        </w:rPr>
        <w:t>第五部分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相关服务机构</w:t>
      </w:r>
      <w:bookmarkEnd w:id="28"/>
    </w:p>
    <w:p w14:paraId="3C839404">
      <w:pPr>
        <w:spacing w:line="360" w:lineRule="auto"/>
        <w:ind w:firstLine="480" w:firstLineChars="200"/>
        <w:rPr>
          <w:bCs/>
          <w:sz w:val="24"/>
          <w:lang w:eastAsia="zh-CN"/>
        </w:rPr>
      </w:pPr>
    </w:p>
    <w:p w14:paraId="794F5FE6">
      <w:pPr>
        <w:spacing w:line="360" w:lineRule="auto"/>
        <w:ind w:firstLine="480" w:firstLineChars="200"/>
        <w:jc w:val="both"/>
        <w:rPr>
          <w:bCs/>
          <w:sz w:val="24"/>
          <w:lang w:eastAsia="zh-CN"/>
        </w:rPr>
      </w:pPr>
      <w:r>
        <w:rPr>
          <w:bCs/>
          <w:sz w:val="24"/>
          <w:lang w:eastAsia="zh-CN"/>
        </w:rPr>
        <w:t>一</w:t>
      </w:r>
      <w:r>
        <w:rPr>
          <w:rFonts w:hint="eastAsia"/>
          <w:bCs/>
          <w:sz w:val="24"/>
          <w:lang w:eastAsia="zh-CN"/>
        </w:rPr>
        <w:t>、</w:t>
      </w:r>
      <w:r>
        <w:rPr>
          <w:bCs/>
          <w:sz w:val="24"/>
          <w:lang w:eastAsia="zh-CN"/>
        </w:rPr>
        <w:t>基金份额发售机构</w:t>
      </w:r>
    </w:p>
    <w:p w14:paraId="4D28BE20">
      <w:pPr>
        <w:spacing w:line="360" w:lineRule="auto"/>
        <w:ind w:firstLine="480" w:firstLineChars="200"/>
        <w:jc w:val="both"/>
        <w:rPr>
          <w:bCs/>
          <w:sz w:val="24"/>
          <w:lang w:eastAsia="zh-CN"/>
        </w:rPr>
      </w:pPr>
      <w:r>
        <w:rPr>
          <w:bCs/>
          <w:sz w:val="24"/>
          <w:lang w:eastAsia="zh-CN"/>
        </w:rPr>
        <w:t>1</w:t>
      </w:r>
      <w:r>
        <w:rPr>
          <w:rFonts w:hint="eastAsia"/>
          <w:bCs/>
          <w:sz w:val="24"/>
          <w:lang w:eastAsia="zh-CN"/>
        </w:rPr>
        <w:t>、直销机构：国新国证基金管理有限公司</w:t>
      </w:r>
    </w:p>
    <w:p w14:paraId="7F18459F">
      <w:pPr>
        <w:spacing w:line="360" w:lineRule="auto"/>
        <w:ind w:firstLine="480" w:firstLineChars="200"/>
        <w:jc w:val="both"/>
        <w:rPr>
          <w:bCs/>
          <w:sz w:val="24"/>
          <w:lang w:eastAsia="zh-CN"/>
        </w:rPr>
      </w:pPr>
      <w:r>
        <w:rPr>
          <w:rFonts w:hint="eastAsia"/>
          <w:bCs/>
          <w:sz w:val="24"/>
          <w:lang w:eastAsia="zh-CN"/>
        </w:rPr>
        <w:t>（1）国新国证基金管理有限公司直销中心</w:t>
      </w:r>
    </w:p>
    <w:p w14:paraId="6F8F114C">
      <w:pPr>
        <w:spacing w:line="360" w:lineRule="auto"/>
        <w:ind w:firstLine="480" w:firstLineChars="200"/>
        <w:jc w:val="both"/>
        <w:rPr>
          <w:bCs/>
          <w:sz w:val="24"/>
          <w:lang w:eastAsia="zh-CN"/>
        </w:rPr>
      </w:pPr>
      <w:r>
        <w:rPr>
          <w:rFonts w:hint="eastAsia"/>
          <w:bCs/>
          <w:sz w:val="24"/>
          <w:lang w:eastAsia="zh-CN"/>
        </w:rPr>
        <w:t>住所：中国（河北）自由贸易试验区雄安片区容城县雄安市民服务中心企业办公区C栋106室-00094</w:t>
      </w:r>
    </w:p>
    <w:p w14:paraId="32CB8E9B">
      <w:pPr>
        <w:spacing w:line="360" w:lineRule="auto"/>
        <w:ind w:firstLine="480" w:firstLineChars="200"/>
        <w:jc w:val="both"/>
        <w:rPr>
          <w:bCs/>
          <w:sz w:val="24"/>
          <w:lang w:eastAsia="zh-CN"/>
        </w:rPr>
      </w:pPr>
      <w:r>
        <w:rPr>
          <w:rFonts w:hint="eastAsia"/>
          <w:bCs/>
          <w:sz w:val="24"/>
          <w:lang w:eastAsia="zh-CN"/>
        </w:rPr>
        <w:t>办公地址：北京市朝阳区朝阳门北大街</w:t>
      </w:r>
      <w:r>
        <w:rPr>
          <w:bCs/>
          <w:sz w:val="24"/>
          <w:lang w:eastAsia="zh-CN"/>
        </w:rPr>
        <w:t>18</w:t>
      </w:r>
      <w:r>
        <w:rPr>
          <w:rFonts w:hint="eastAsia"/>
          <w:bCs/>
          <w:sz w:val="24"/>
          <w:lang w:eastAsia="zh-CN"/>
        </w:rPr>
        <w:t>号中国人保寿险大厦</w:t>
      </w:r>
      <w:r>
        <w:rPr>
          <w:bCs/>
          <w:sz w:val="24"/>
          <w:lang w:eastAsia="zh-CN"/>
        </w:rPr>
        <w:t>11</w:t>
      </w:r>
      <w:r>
        <w:rPr>
          <w:rFonts w:hint="eastAsia"/>
          <w:bCs/>
          <w:sz w:val="24"/>
          <w:lang w:eastAsia="zh-CN"/>
        </w:rPr>
        <w:t>层</w:t>
      </w:r>
    </w:p>
    <w:p w14:paraId="3BA9D0E1">
      <w:pPr>
        <w:spacing w:line="360" w:lineRule="auto"/>
        <w:ind w:firstLine="480" w:firstLineChars="200"/>
        <w:jc w:val="both"/>
        <w:rPr>
          <w:bCs/>
          <w:sz w:val="24"/>
          <w:lang w:eastAsia="zh-CN"/>
        </w:rPr>
      </w:pPr>
      <w:r>
        <w:rPr>
          <w:rFonts w:hint="eastAsia"/>
          <w:bCs/>
          <w:sz w:val="24"/>
          <w:lang w:eastAsia="zh-CN"/>
        </w:rPr>
        <w:t>法定代表人：</w:t>
      </w:r>
      <w:r>
        <w:rPr>
          <w:rFonts w:hint="eastAsia"/>
          <w:bCs/>
          <w:sz w:val="24"/>
          <w:lang w:val="en-US" w:eastAsia="zh-CN"/>
        </w:rPr>
        <w:t>张涵宇</w:t>
      </w:r>
    </w:p>
    <w:p w14:paraId="6AE30F57">
      <w:pPr>
        <w:spacing w:line="360" w:lineRule="auto"/>
        <w:ind w:firstLine="480" w:firstLineChars="200"/>
        <w:jc w:val="both"/>
        <w:rPr>
          <w:bCs/>
          <w:sz w:val="24"/>
          <w:lang w:eastAsia="zh-CN"/>
        </w:rPr>
      </w:pPr>
      <w:r>
        <w:rPr>
          <w:rFonts w:hint="eastAsia"/>
          <w:bCs/>
          <w:sz w:val="24"/>
          <w:lang w:eastAsia="zh-CN"/>
        </w:rPr>
        <w:t>客服电话：</w:t>
      </w:r>
      <w:r>
        <w:rPr>
          <w:bCs/>
          <w:sz w:val="24"/>
          <w:lang w:eastAsia="zh-CN"/>
        </w:rPr>
        <w:t>400-8</w:t>
      </w:r>
      <w:r>
        <w:rPr>
          <w:rFonts w:hint="eastAsia"/>
          <w:bCs/>
          <w:sz w:val="24"/>
          <w:lang w:eastAsia="zh-CN"/>
        </w:rPr>
        <w:t>19</w:t>
      </w:r>
      <w:r>
        <w:rPr>
          <w:bCs/>
          <w:sz w:val="24"/>
          <w:lang w:eastAsia="zh-CN"/>
        </w:rPr>
        <w:t>-</w:t>
      </w:r>
      <w:r>
        <w:rPr>
          <w:rFonts w:hint="eastAsia"/>
          <w:bCs/>
          <w:sz w:val="24"/>
          <w:lang w:eastAsia="zh-CN"/>
        </w:rPr>
        <w:t>0789</w:t>
      </w:r>
    </w:p>
    <w:p w14:paraId="1458B6EE">
      <w:pPr>
        <w:spacing w:line="360" w:lineRule="auto"/>
        <w:ind w:firstLine="480" w:firstLineChars="200"/>
        <w:jc w:val="both"/>
        <w:rPr>
          <w:bCs/>
          <w:sz w:val="24"/>
          <w:lang w:eastAsia="zh-CN"/>
        </w:rPr>
      </w:pPr>
      <w:r>
        <w:rPr>
          <w:rFonts w:hint="eastAsia"/>
          <w:bCs/>
          <w:sz w:val="24"/>
          <w:lang w:eastAsia="zh-CN"/>
        </w:rPr>
        <w:t>传真：</w:t>
      </w:r>
      <w:r>
        <w:rPr>
          <w:bCs/>
          <w:sz w:val="24"/>
          <w:lang w:eastAsia="zh-CN"/>
        </w:rPr>
        <w:t>010-</w:t>
      </w:r>
      <w:r>
        <w:rPr>
          <w:rFonts w:hint="eastAsia"/>
          <w:bCs/>
          <w:sz w:val="24"/>
          <w:lang w:eastAsia="zh-CN"/>
        </w:rPr>
        <w:t>59315600</w:t>
      </w:r>
    </w:p>
    <w:p w14:paraId="13012A00">
      <w:pPr>
        <w:spacing w:line="360" w:lineRule="auto"/>
        <w:ind w:firstLine="480" w:firstLineChars="200"/>
        <w:jc w:val="both"/>
        <w:rPr>
          <w:bCs/>
          <w:sz w:val="24"/>
          <w:lang w:eastAsia="zh-CN"/>
        </w:rPr>
      </w:pPr>
      <w:r>
        <w:rPr>
          <w:rFonts w:hint="eastAsia"/>
          <w:bCs/>
          <w:sz w:val="24"/>
          <w:lang w:eastAsia="zh-CN"/>
        </w:rPr>
        <w:t>联系人：</w:t>
      </w:r>
      <w:r>
        <w:rPr>
          <w:rFonts w:hint="eastAsia" w:asciiTheme="minorEastAsia" w:hAnsiTheme="minorEastAsia" w:eastAsiaTheme="minorEastAsia" w:cstheme="minorEastAsia"/>
          <w:bCs/>
          <w:sz w:val="24"/>
          <w:szCs w:val="22"/>
          <w:lang w:val="en-US" w:eastAsia="zh-CN"/>
        </w:rPr>
        <w:t>尹旭航</w:t>
      </w:r>
    </w:p>
    <w:p w14:paraId="0B25DC0F">
      <w:pPr>
        <w:spacing w:line="360" w:lineRule="auto"/>
        <w:ind w:firstLine="480" w:firstLineChars="200"/>
        <w:jc w:val="both"/>
        <w:rPr>
          <w:rFonts w:hint="default"/>
          <w:bCs/>
          <w:sz w:val="24"/>
          <w:lang w:val="en-US" w:eastAsia="zh-CN"/>
        </w:rPr>
      </w:pPr>
      <w:r>
        <w:rPr>
          <w:rFonts w:hint="eastAsia"/>
          <w:bCs/>
          <w:sz w:val="24"/>
          <w:lang w:eastAsia="zh-CN"/>
        </w:rPr>
        <w:t>电话：010-593156</w:t>
      </w:r>
      <w:r>
        <w:rPr>
          <w:rFonts w:hint="eastAsia"/>
          <w:bCs/>
          <w:sz w:val="24"/>
          <w:lang w:val="en-US" w:eastAsia="zh-CN"/>
        </w:rPr>
        <w:t>93</w:t>
      </w:r>
    </w:p>
    <w:p w14:paraId="65EDBAE0">
      <w:pPr>
        <w:spacing w:line="360" w:lineRule="auto"/>
        <w:ind w:firstLine="480" w:firstLineChars="200"/>
        <w:jc w:val="both"/>
        <w:rPr>
          <w:bCs/>
          <w:sz w:val="24"/>
          <w:lang w:eastAsia="zh-CN"/>
        </w:rPr>
      </w:pPr>
      <w:r>
        <w:rPr>
          <w:rFonts w:hint="eastAsia"/>
          <w:bCs/>
          <w:sz w:val="24"/>
          <w:lang w:eastAsia="zh-CN"/>
        </w:rPr>
        <w:t>网址：</w:t>
      </w:r>
      <w:r>
        <w:fldChar w:fldCharType="begin"/>
      </w:r>
      <w:r>
        <w:instrText xml:space="preserve"> HYPERLINK "http://www.hr-fund.com.cn" </w:instrText>
      </w:r>
      <w:r>
        <w:fldChar w:fldCharType="separate"/>
      </w:r>
      <w:r>
        <w:rPr>
          <w:rStyle w:val="27"/>
          <w:bCs/>
          <w:color w:val="auto"/>
          <w:sz w:val="24"/>
          <w:lang w:eastAsia="zh-CN"/>
        </w:rPr>
        <w:t>www.</w:t>
      </w:r>
      <w:r>
        <w:rPr>
          <w:rStyle w:val="27"/>
          <w:rFonts w:hint="eastAsia"/>
          <w:bCs/>
          <w:color w:val="auto"/>
          <w:sz w:val="24"/>
          <w:lang w:val="en-US" w:eastAsia="zh-CN"/>
        </w:rPr>
        <w:t>crs</w:t>
      </w:r>
      <w:r>
        <w:rPr>
          <w:rStyle w:val="27"/>
          <w:bCs/>
          <w:color w:val="auto"/>
          <w:sz w:val="24"/>
          <w:lang w:eastAsia="zh-CN"/>
        </w:rPr>
        <w:t>fund.com.cn</w:t>
      </w:r>
      <w:r>
        <w:rPr>
          <w:rStyle w:val="27"/>
          <w:bCs/>
          <w:color w:val="auto"/>
          <w:sz w:val="24"/>
          <w:lang w:eastAsia="zh-CN"/>
        </w:rPr>
        <w:fldChar w:fldCharType="end"/>
      </w:r>
    </w:p>
    <w:p w14:paraId="0B3C47D9">
      <w:pPr>
        <w:spacing w:line="360" w:lineRule="auto"/>
        <w:ind w:firstLine="480" w:firstLineChars="200"/>
        <w:jc w:val="both"/>
        <w:rPr>
          <w:bCs/>
          <w:sz w:val="24"/>
          <w:lang w:eastAsia="zh-CN"/>
        </w:rPr>
      </w:pPr>
      <w:r>
        <w:rPr>
          <w:rFonts w:hint="eastAsia"/>
          <w:bCs/>
          <w:sz w:val="24"/>
          <w:lang w:eastAsia="zh-CN"/>
        </w:rPr>
        <w:t>（2）国新国证基金管理有限公司网上直销系统（网址：</w:t>
      </w:r>
      <w:r>
        <w:fldChar w:fldCharType="begin"/>
      </w:r>
      <w:r>
        <w:instrText xml:space="preserve"> HYPERLINK "http://www.hr-fund.com.cn" </w:instrText>
      </w:r>
      <w:r>
        <w:fldChar w:fldCharType="separate"/>
      </w:r>
      <w:r>
        <w:rPr>
          <w:rStyle w:val="27"/>
          <w:bCs/>
          <w:color w:val="auto"/>
          <w:sz w:val="24"/>
          <w:lang w:eastAsia="zh-CN"/>
        </w:rPr>
        <w:t>www.</w:t>
      </w:r>
      <w:r>
        <w:rPr>
          <w:rStyle w:val="27"/>
          <w:rFonts w:hint="eastAsia"/>
          <w:bCs/>
          <w:color w:val="auto"/>
          <w:sz w:val="24"/>
          <w:lang w:val="en-US" w:eastAsia="zh-CN"/>
        </w:rPr>
        <w:t>crs</w:t>
      </w:r>
      <w:r>
        <w:rPr>
          <w:rStyle w:val="27"/>
          <w:bCs/>
          <w:color w:val="auto"/>
          <w:sz w:val="24"/>
          <w:lang w:eastAsia="zh-CN"/>
        </w:rPr>
        <w:t>fund.com.cn</w:t>
      </w:r>
      <w:r>
        <w:rPr>
          <w:rStyle w:val="27"/>
          <w:bCs/>
          <w:color w:val="auto"/>
          <w:sz w:val="24"/>
          <w:lang w:eastAsia="zh-CN"/>
        </w:rPr>
        <w:fldChar w:fldCharType="end"/>
      </w:r>
      <w:r>
        <w:rPr>
          <w:bCs/>
          <w:sz w:val="24"/>
          <w:lang w:eastAsia="zh-CN"/>
        </w:rPr>
        <w:t>）</w:t>
      </w:r>
    </w:p>
    <w:p w14:paraId="0C56F807">
      <w:pPr>
        <w:spacing w:line="360" w:lineRule="auto"/>
        <w:ind w:firstLine="480" w:firstLineChars="200"/>
        <w:jc w:val="both"/>
        <w:rPr>
          <w:bCs/>
          <w:sz w:val="24"/>
          <w:lang w:eastAsia="zh-CN"/>
        </w:rPr>
      </w:pPr>
      <w:r>
        <w:rPr>
          <w:rFonts w:hint="eastAsia"/>
          <w:bCs/>
          <w:sz w:val="24"/>
          <w:lang w:eastAsia="zh-CN"/>
        </w:rPr>
        <w:t>直销机构的网点信息详见基金份额发售公告或基金管理人网站公示信息。</w:t>
      </w:r>
    </w:p>
    <w:p w14:paraId="015125E4">
      <w:pPr>
        <w:spacing w:line="360" w:lineRule="auto"/>
        <w:ind w:firstLine="480" w:firstLineChars="200"/>
        <w:jc w:val="both"/>
        <w:rPr>
          <w:bCs/>
          <w:sz w:val="24"/>
          <w:lang w:eastAsia="zh-CN"/>
        </w:rPr>
      </w:pPr>
      <w:r>
        <w:rPr>
          <w:bCs/>
          <w:sz w:val="24"/>
          <w:lang w:eastAsia="zh-CN"/>
        </w:rPr>
        <w:t>2、</w:t>
      </w:r>
      <w:r>
        <w:rPr>
          <w:rFonts w:hint="eastAsia"/>
          <w:bCs/>
          <w:sz w:val="24"/>
          <w:lang w:eastAsia="zh-CN"/>
        </w:rPr>
        <w:t>非直销</w:t>
      </w:r>
      <w:r>
        <w:rPr>
          <w:bCs/>
          <w:sz w:val="24"/>
          <w:lang w:eastAsia="zh-CN"/>
        </w:rPr>
        <w:t>销售机构</w:t>
      </w:r>
    </w:p>
    <w:p w14:paraId="255F8A55">
      <w:pPr>
        <w:spacing w:line="360" w:lineRule="auto"/>
        <w:ind w:firstLine="480" w:firstLineChars="200"/>
        <w:jc w:val="both"/>
        <w:rPr>
          <w:bCs/>
          <w:sz w:val="24"/>
          <w:lang w:eastAsia="zh-CN"/>
        </w:rPr>
      </w:pPr>
      <w:r>
        <w:rPr>
          <w:bCs/>
          <w:sz w:val="24"/>
          <w:lang w:eastAsia="zh-CN"/>
        </w:rPr>
        <w:t>详见基金份额发售公告或</w:t>
      </w:r>
      <w:r>
        <w:rPr>
          <w:rFonts w:hint="eastAsia"/>
          <w:bCs/>
          <w:sz w:val="24"/>
          <w:lang w:eastAsia="zh-CN"/>
        </w:rPr>
        <w:t>基金管理人网站公告</w:t>
      </w:r>
      <w:r>
        <w:rPr>
          <w:bCs/>
          <w:sz w:val="24"/>
          <w:lang w:eastAsia="zh-CN"/>
        </w:rPr>
        <w:t>。</w:t>
      </w:r>
    </w:p>
    <w:p w14:paraId="5D6DDB84">
      <w:pPr>
        <w:spacing w:line="360" w:lineRule="auto"/>
        <w:ind w:firstLine="480" w:firstLineChars="200"/>
        <w:jc w:val="both"/>
        <w:rPr>
          <w:bCs/>
          <w:sz w:val="24"/>
          <w:lang w:eastAsia="zh-CN"/>
        </w:rPr>
      </w:pPr>
      <w:r>
        <w:rPr>
          <w:rFonts w:hint="eastAsia"/>
          <w:bCs/>
          <w:sz w:val="24"/>
          <w:lang w:eastAsia="zh-CN"/>
        </w:rPr>
        <w:t>基金管理人可不时变更或增减销售机构，并在基金管理人网站公示。</w:t>
      </w:r>
    </w:p>
    <w:p w14:paraId="0ABDFF0B">
      <w:pPr>
        <w:spacing w:line="360" w:lineRule="auto"/>
        <w:ind w:firstLine="480" w:firstLineChars="200"/>
        <w:jc w:val="both"/>
        <w:rPr>
          <w:bCs/>
          <w:sz w:val="24"/>
          <w:lang w:eastAsia="zh-CN"/>
        </w:rPr>
      </w:pPr>
      <w:r>
        <w:rPr>
          <w:bCs/>
          <w:sz w:val="24"/>
          <w:lang w:eastAsia="zh-CN"/>
        </w:rPr>
        <w:t>二</w:t>
      </w:r>
      <w:r>
        <w:rPr>
          <w:rFonts w:hint="eastAsia"/>
          <w:bCs/>
          <w:sz w:val="24"/>
          <w:lang w:eastAsia="zh-CN"/>
        </w:rPr>
        <w:t>、</w:t>
      </w:r>
      <w:r>
        <w:rPr>
          <w:bCs/>
          <w:sz w:val="24"/>
          <w:lang w:eastAsia="zh-CN"/>
        </w:rPr>
        <w:t>基金登记机构</w:t>
      </w:r>
    </w:p>
    <w:p w14:paraId="7B4B9F5E">
      <w:pPr>
        <w:spacing w:line="360" w:lineRule="auto"/>
        <w:ind w:firstLine="480" w:firstLineChars="200"/>
        <w:jc w:val="both"/>
        <w:rPr>
          <w:bCs/>
          <w:sz w:val="24"/>
          <w:lang w:eastAsia="zh-CN"/>
        </w:rPr>
      </w:pPr>
      <w:r>
        <w:rPr>
          <w:rFonts w:hint="eastAsia"/>
          <w:bCs/>
          <w:sz w:val="24"/>
          <w:lang w:eastAsia="zh-CN"/>
        </w:rPr>
        <w:t>名称：国新国证基金管理有限公司</w:t>
      </w:r>
    </w:p>
    <w:p w14:paraId="54865203">
      <w:pPr>
        <w:spacing w:line="360" w:lineRule="auto"/>
        <w:ind w:firstLine="480" w:firstLineChars="200"/>
        <w:jc w:val="both"/>
        <w:rPr>
          <w:bCs/>
          <w:sz w:val="24"/>
          <w:lang w:eastAsia="zh-CN"/>
        </w:rPr>
      </w:pPr>
      <w:r>
        <w:rPr>
          <w:rFonts w:hint="eastAsia"/>
          <w:bCs/>
          <w:sz w:val="24"/>
          <w:lang w:eastAsia="zh-CN"/>
        </w:rPr>
        <w:t>住所：中国（河北）自由贸易试验区雄安片区容城县雄安市民服务中心企业办公区C栋106室-00094</w:t>
      </w:r>
    </w:p>
    <w:p w14:paraId="1CEB2A44">
      <w:pPr>
        <w:spacing w:line="360" w:lineRule="auto"/>
        <w:ind w:firstLine="480" w:firstLineChars="200"/>
        <w:jc w:val="both"/>
        <w:rPr>
          <w:bCs/>
          <w:sz w:val="24"/>
          <w:lang w:eastAsia="zh-CN"/>
        </w:rPr>
      </w:pPr>
      <w:r>
        <w:rPr>
          <w:rFonts w:hint="eastAsia"/>
          <w:bCs/>
          <w:sz w:val="24"/>
          <w:lang w:eastAsia="zh-CN"/>
        </w:rPr>
        <w:t>办公地址：北京市朝阳区朝阳门北大街</w:t>
      </w:r>
      <w:r>
        <w:rPr>
          <w:bCs/>
          <w:sz w:val="24"/>
          <w:lang w:eastAsia="zh-CN"/>
        </w:rPr>
        <w:t>18</w:t>
      </w:r>
      <w:r>
        <w:rPr>
          <w:rFonts w:hint="eastAsia"/>
          <w:bCs/>
          <w:sz w:val="24"/>
          <w:lang w:eastAsia="zh-CN"/>
        </w:rPr>
        <w:t>号中国人保寿险大厦</w:t>
      </w:r>
      <w:r>
        <w:rPr>
          <w:bCs/>
          <w:sz w:val="24"/>
          <w:lang w:eastAsia="zh-CN"/>
        </w:rPr>
        <w:t>11</w:t>
      </w:r>
      <w:r>
        <w:rPr>
          <w:rFonts w:hint="eastAsia"/>
          <w:bCs/>
          <w:sz w:val="24"/>
          <w:lang w:eastAsia="zh-CN"/>
        </w:rPr>
        <w:t>层</w:t>
      </w:r>
    </w:p>
    <w:p w14:paraId="777A3F7F">
      <w:pPr>
        <w:spacing w:line="360" w:lineRule="auto"/>
        <w:ind w:firstLine="480" w:firstLineChars="200"/>
        <w:jc w:val="both"/>
        <w:rPr>
          <w:bCs/>
          <w:sz w:val="24"/>
          <w:szCs w:val="24"/>
          <w:lang w:eastAsia="zh-CN"/>
        </w:rPr>
      </w:pPr>
      <w:r>
        <w:rPr>
          <w:rFonts w:hint="eastAsia"/>
          <w:bCs/>
          <w:sz w:val="24"/>
          <w:lang w:eastAsia="zh-CN"/>
        </w:rPr>
        <w:t>法定代表人：</w:t>
      </w:r>
      <w:r>
        <w:rPr>
          <w:rFonts w:hint="eastAsia"/>
          <w:sz w:val="24"/>
          <w:szCs w:val="24"/>
          <w:lang w:val="en-US" w:eastAsia="zh-CN"/>
        </w:rPr>
        <w:t>张涵宇</w:t>
      </w:r>
    </w:p>
    <w:p w14:paraId="4FAAC04C">
      <w:pPr>
        <w:spacing w:line="360" w:lineRule="auto"/>
        <w:ind w:firstLine="480" w:firstLineChars="200"/>
        <w:jc w:val="both"/>
        <w:rPr>
          <w:bCs/>
          <w:sz w:val="24"/>
          <w:lang w:eastAsia="zh-CN"/>
        </w:rPr>
      </w:pPr>
      <w:r>
        <w:rPr>
          <w:rFonts w:hint="eastAsia"/>
          <w:bCs/>
          <w:sz w:val="24"/>
          <w:lang w:eastAsia="zh-CN"/>
        </w:rPr>
        <w:t>设立日期：</w:t>
      </w:r>
      <w:r>
        <w:rPr>
          <w:bCs/>
          <w:sz w:val="24"/>
          <w:lang w:eastAsia="zh-CN"/>
        </w:rPr>
        <w:t>2019</w:t>
      </w:r>
      <w:r>
        <w:rPr>
          <w:rFonts w:hint="eastAsia"/>
          <w:bCs/>
          <w:sz w:val="24"/>
          <w:lang w:eastAsia="zh-CN"/>
        </w:rPr>
        <w:t>年</w:t>
      </w:r>
      <w:r>
        <w:rPr>
          <w:bCs/>
          <w:sz w:val="24"/>
          <w:lang w:eastAsia="zh-CN"/>
        </w:rPr>
        <w:t>3</w:t>
      </w:r>
      <w:r>
        <w:rPr>
          <w:rFonts w:hint="eastAsia"/>
          <w:bCs/>
          <w:sz w:val="24"/>
          <w:lang w:eastAsia="zh-CN"/>
        </w:rPr>
        <w:t>月</w:t>
      </w:r>
      <w:r>
        <w:rPr>
          <w:bCs/>
          <w:sz w:val="24"/>
          <w:lang w:eastAsia="zh-CN"/>
        </w:rPr>
        <w:t>1</w:t>
      </w:r>
      <w:r>
        <w:rPr>
          <w:rFonts w:hint="eastAsia"/>
          <w:bCs/>
          <w:sz w:val="24"/>
          <w:lang w:eastAsia="zh-CN"/>
        </w:rPr>
        <w:t>日</w:t>
      </w:r>
    </w:p>
    <w:p w14:paraId="1CAFF90A">
      <w:pPr>
        <w:spacing w:line="360" w:lineRule="auto"/>
        <w:ind w:firstLine="480" w:firstLineChars="200"/>
        <w:jc w:val="both"/>
        <w:rPr>
          <w:bCs/>
          <w:sz w:val="24"/>
          <w:lang w:eastAsia="zh-CN"/>
        </w:rPr>
      </w:pPr>
      <w:r>
        <w:rPr>
          <w:rFonts w:hint="eastAsia"/>
          <w:bCs/>
          <w:sz w:val="24"/>
          <w:lang w:eastAsia="zh-CN"/>
        </w:rPr>
        <w:t>联系电话：</w:t>
      </w:r>
      <w:r>
        <w:rPr>
          <w:bCs/>
          <w:sz w:val="24"/>
          <w:lang w:eastAsia="zh-CN"/>
        </w:rPr>
        <w:t>010-</w:t>
      </w:r>
      <w:r>
        <w:rPr>
          <w:rFonts w:hint="eastAsia"/>
          <w:bCs/>
          <w:sz w:val="24"/>
          <w:lang w:eastAsia="zh-CN"/>
        </w:rPr>
        <w:t>59315631</w:t>
      </w:r>
    </w:p>
    <w:p w14:paraId="7189FA99">
      <w:pPr>
        <w:spacing w:line="360" w:lineRule="auto"/>
        <w:ind w:firstLine="480" w:firstLineChars="200"/>
        <w:jc w:val="both"/>
        <w:rPr>
          <w:bCs/>
          <w:sz w:val="24"/>
          <w:lang w:eastAsia="zh-CN"/>
        </w:rPr>
      </w:pPr>
      <w:r>
        <w:rPr>
          <w:rFonts w:hint="eastAsia"/>
          <w:bCs/>
          <w:sz w:val="24"/>
          <w:lang w:eastAsia="zh-CN"/>
        </w:rPr>
        <w:t>联系人：王阳</w:t>
      </w:r>
    </w:p>
    <w:p w14:paraId="2D9F4031">
      <w:pPr>
        <w:spacing w:line="360" w:lineRule="auto"/>
        <w:ind w:firstLine="480" w:firstLineChars="200"/>
        <w:jc w:val="both"/>
        <w:rPr>
          <w:bCs/>
          <w:sz w:val="24"/>
          <w:lang w:eastAsia="zh-CN"/>
        </w:rPr>
      </w:pPr>
      <w:r>
        <w:rPr>
          <w:bCs/>
          <w:sz w:val="24"/>
          <w:lang w:eastAsia="zh-CN"/>
        </w:rPr>
        <w:t>三</w:t>
      </w:r>
      <w:r>
        <w:rPr>
          <w:rFonts w:hint="eastAsia"/>
          <w:bCs/>
          <w:sz w:val="24"/>
          <w:lang w:eastAsia="zh-CN"/>
        </w:rPr>
        <w:t>、出具法律意见书的</w:t>
      </w:r>
      <w:r>
        <w:rPr>
          <w:bCs/>
          <w:sz w:val="24"/>
          <w:lang w:eastAsia="zh-CN"/>
        </w:rPr>
        <w:t>律师事务所和经办律师</w:t>
      </w:r>
    </w:p>
    <w:p w14:paraId="1764B752">
      <w:pPr>
        <w:spacing w:line="360" w:lineRule="auto"/>
        <w:ind w:firstLine="480" w:firstLineChars="200"/>
        <w:jc w:val="both"/>
        <w:rPr>
          <w:bCs/>
          <w:sz w:val="24"/>
          <w:lang w:eastAsia="zh-CN"/>
        </w:rPr>
      </w:pPr>
      <w:r>
        <w:rPr>
          <w:rFonts w:hint="eastAsia"/>
          <w:bCs/>
          <w:sz w:val="24"/>
          <w:lang w:eastAsia="zh-CN"/>
        </w:rPr>
        <w:t>律师事务所：上海市通力律师事务所</w:t>
      </w:r>
    </w:p>
    <w:p w14:paraId="030FA037">
      <w:pPr>
        <w:spacing w:line="360" w:lineRule="auto"/>
        <w:ind w:firstLine="480" w:firstLineChars="200"/>
        <w:jc w:val="both"/>
        <w:rPr>
          <w:bCs/>
          <w:sz w:val="24"/>
          <w:lang w:eastAsia="zh-CN"/>
        </w:rPr>
      </w:pPr>
      <w:r>
        <w:rPr>
          <w:rFonts w:hint="eastAsia"/>
          <w:bCs/>
          <w:sz w:val="24"/>
          <w:lang w:eastAsia="zh-CN"/>
        </w:rPr>
        <w:t>住所和办公地址：上海市银城中路</w:t>
      </w:r>
      <w:r>
        <w:rPr>
          <w:bCs/>
          <w:sz w:val="24"/>
          <w:lang w:eastAsia="zh-CN"/>
        </w:rPr>
        <w:t>68号时代金融中心19楼</w:t>
      </w:r>
    </w:p>
    <w:p w14:paraId="05CD00E9">
      <w:pPr>
        <w:spacing w:line="360" w:lineRule="auto"/>
        <w:ind w:firstLine="480" w:firstLineChars="200"/>
        <w:jc w:val="both"/>
        <w:rPr>
          <w:bCs/>
          <w:sz w:val="24"/>
          <w:lang w:eastAsia="zh-CN"/>
        </w:rPr>
      </w:pPr>
      <w:r>
        <w:rPr>
          <w:rFonts w:hint="eastAsia"/>
          <w:bCs/>
          <w:sz w:val="24"/>
          <w:lang w:eastAsia="zh-CN"/>
        </w:rPr>
        <w:t>负责人：韩炯</w:t>
      </w:r>
    </w:p>
    <w:p w14:paraId="6F34E660">
      <w:pPr>
        <w:spacing w:line="360" w:lineRule="auto"/>
        <w:ind w:firstLine="480" w:firstLineChars="200"/>
        <w:jc w:val="both"/>
        <w:rPr>
          <w:bCs/>
          <w:sz w:val="24"/>
          <w:lang w:eastAsia="zh-CN"/>
        </w:rPr>
      </w:pPr>
      <w:r>
        <w:rPr>
          <w:rFonts w:hint="eastAsia"/>
          <w:bCs/>
          <w:sz w:val="24"/>
          <w:lang w:eastAsia="zh-CN"/>
        </w:rPr>
        <w:t>电话：</w:t>
      </w:r>
      <w:r>
        <w:rPr>
          <w:bCs/>
          <w:sz w:val="24"/>
          <w:lang w:eastAsia="zh-CN"/>
        </w:rPr>
        <w:t>021-31358666</w:t>
      </w:r>
    </w:p>
    <w:p w14:paraId="15A58D43">
      <w:pPr>
        <w:spacing w:line="360" w:lineRule="auto"/>
        <w:ind w:firstLine="480" w:firstLineChars="200"/>
        <w:jc w:val="both"/>
        <w:rPr>
          <w:bCs/>
          <w:sz w:val="24"/>
          <w:lang w:eastAsia="zh-CN"/>
        </w:rPr>
      </w:pPr>
      <w:r>
        <w:rPr>
          <w:rFonts w:hint="eastAsia"/>
          <w:bCs/>
          <w:sz w:val="24"/>
          <w:lang w:eastAsia="zh-CN"/>
        </w:rPr>
        <w:t>传真：</w:t>
      </w:r>
      <w:r>
        <w:rPr>
          <w:bCs/>
          <w:sz w:val="24"/>
          <w:lang w:eastAsia="zh-CN"/>
        </w:rPr>
        <w:t>021-31358600</w:t>
      </w:r>
    </w:p>
    <w:p w14:paraId="5314C434">
      <w:pPr>
        <w:spacing w:line="360" w:lineRule="auto"/>
        <w:ind w:firstLine="480" w:firstLineChars="200"/>
        <w:jc w:val="both"/>
        <w:rPr>
          <w:bCs/>
          <w:sz w:val="24"/>
          <w:lang w:eastAsia="zh-CN"/>
        </w:rPr>
      </w:pPr>
      <w:r>
        <w:rPr>
          <w:rFonts w:hint="eastAsia"/>
          <w:bCs/>
          <w:sz w:val="24"/>
          <w:lang w:eastAsia="zh-CN"/>
        </w:rPr>
        <w:t>经办律师：黎明、陆奇</w:t>
      </w:r>
    </w:p>
    <w:p w14:paraId="259B51C1">
      <w:pPr>
        <w:spacing w:line="360" w:lineRule="auto"/>
        <w:ind w:firstLine="480" w:firstLineChars="200"/>
        <w:jc w:val="both"/>
        <w:rPr>
          <w:bCs/>
          <w:sz w:val="24"/>
          <w:lang w:eastAsia="zh-CN"/>
        </w:rPr>
      </w:pPr>
      <w:r>
        <w:rPr>
          <w:rFonts w:hint="eastAsia"/>
          <w:bCs/>
          <w:sz w:val="24"/>
          <w:lang w:eastAsia="zh-CN"/>
        </w:rPr>
        <w:t>联系人：陆奇</w:t>
      </w:r>
    </w:p>
    <w:p w14:paraId="0E52EE44">
      <w:pPr>
        <w:spacing w:line="360" w:lineRule="auto"/>
        <w:ind w:firstLine="480" w:firstLineChars="200"/>
        <w:jc w:val="both"/>
        <w:rPr>
          <w:bCs/>
          <w:sz w:val="24"/>
          <w:lang w:eastAsia="zh-CN"/>
        </w:rPr>
      </w:pPr>
      <w:r>
        <w:rPr>
          <w:bCs/>
          <w:sz w:val="24"/>
          <w:lang w:eastAsia="zh-CN"/>
        </w:rPr>
        <w:t>四</w:t>
      </w:r>
      <w:r>
        <w:rPr>
          <w:rFonts w:hint="eastAsia"/>
          <w:bCs/>
          <w:sz w:val="24"/>
          <w:lang w:eastAsia="zh-CN"/>
        </w:rPr>
        <w:t>、审计基金财产的</w:t>
      </w:r>
      <w:r>
        <w:rPr>
          <w:bCs/>
          <w:sz w:val="24"/>
          <w:lang w:eastAsia="zh-CN"/>
        </w:rPr>
        <w:t>会计师事务所和经办注册会计师</w:t>
      </w:r>
    </w:p>
    <w:p w14:paraId="293864B7">
      <w:pPr>
        <w:spacing w:line="360" w:lineRule="auto"/>
        <w:ind w:firstLine="480" w:firstLineChars="200"/>
        <w:jc w:val="both"/>
        <w:rPr>
          <w:bCs/>
          <w:sz w:val="24"/>
          <w:lang w:eastAsia="zh-CN"/>
        </w:rPr>
      </w:pPr>
      <w:r>
        <w:rPr>
          <w:rFonts w:hint="eastAsia"/>
          <w:bCs/>
          <w:sz w:val="24"/>
          <w:lang w:eastAsia="zh-CN"/>
        </w:rPr>
        <w:t>名称：</w:t>
      </w:r>
      <w:r>
        <w:rPr>
          <w:rFonts w:hint="eastAsia" w:asciiTheme="minorEastAsia" w:hAnsiTheme="minorEastAsia" w:eastAsiaTheme="minorEastAsia" w:cstheme="minorEastAsia"/>
          <w:bCs/>
          <w:sz w:val="24"/>
          <w:szCs w:val="22"/>
          <w:lang w:eastAsia="zh-CN"/>
        </w:rPr>
        <w:t>立信会计师事务所（特殊普通合伙）</w:t>
      </w:r>
    </w:p>
    <w:p w14:paraId="205B5F2D">
      <w:pPr>
        <w:spacing w:line="360" w:lineRule="auto"/>
        <w:ind w:firstLine="480" w:firstLineChars="200"/>
        <w:jc w:val="both"/>
        <w:rPr>
          <w:bCs/>
          <w:sz w:val="24"/>
          <w:lang w:eastAsia="zh-CN"/>
        </w:rPr>
      </w:pPr>
      <w:r>
        <w:rPr>
          <w:rFonts w:hint="eastAsia"/>
          <w:bCs/>
          <w:sz w:val="24"/>
          <w:lang w:eastAsia="zh-CN"/>
        </w:rPr>
        <w:t>办公地址：</w:t>
      </w:r>
      <w:r>
        <w:rPr>
          <w:rFonts w:hint="eastAsia" w:asciiTheme="minorEastAsia" w:hAnsiTheme="minorEastAsia" w:eastAsiaTheme="minorEastAsia" w:cstheme="minorEastAsia"/>
          <w:bCs/>
          <w:sz w:val="24"/>
          <w:szCs w:val="22"/>
          <w:lang w:eastAsia="zh-CN"/>
        </w:rPr>
        <w:t>北京市海淀区西四环中路16号院7号楼10层</w:t>
      </w:r>
    </w:p>
    <w:p w14:paraId="6D4C00EE">
      <w:pPr>
        <w:spacing w:line="360" w:lineRule="auto"/>
        <w:ind w:firstLine="480" w:firstLineChars="200"/>
        <w:jc w:val="both"/>
        <w:rPr>
          <w:bCs/>
          <w:sz w:val="24"/>
          <w:lang w:eastAsia="zh-CN"/>
        </w:rPr>
      </w:pPr>
      <w:r>
        <w:rPr>
          <w:rFonts w:hint="eastAsia"/>
          <w:bCs/>
          <w:sz w:val="24"/>
          <w:lang w:eastAsia="zh-CN"/>
        </w:rPr>
        <w:t>执行事务合伙人：</w:t>
      </w:r>
      <w:r>
        <w:rPr>
          <w:rFonts w:hint="eastAsia" w:asciiTheme="minorEastAsia" w:hAnsiTheme="minorEastAsia" w:eastAsiaTheme="minorEastAsia" w:cstheme="minorEastAsia"/>
          <w:bCs/>
          <w:sz w:val="24"/>
          <w:szCs w:val="22"/>
          <w:lang w:eastAsia="zh-CN"/>
        </w:rPr>
        <w:t>杨志国、朱建弟</w:t>
      </w:r>
    </w:p>
    <w:p w14:paraId="2AAE2656">
      <w:pPr>
        <w:spacing w:line="360" w:lineRule="auto"/>
        <w:ind w:firstLine="480" w:firstLineChars="200"/>
        <w:jc w:val="both"/>
        <w:rPr>
          <w:bCs/>
          <w:sz w:val="24"/>
          <w:lang w:eastAsia="zh-CN"/>
        </w:rPr>
      </w:pPr>
      <w:r>
        <w:rPr>
          <w:rFonts w:hint="eastAsia"/>
          <w:bCs/>
          <w:sz w:val="24"/>
          <w:lang w:eastAsia="zh-CN"/>
        </w:rPr>
        <w:t>联系人：</w:t>
      </w:r>
      <w:r>
        <w:rPr>
          <w:rFonts w:hint="eastAsia" w:asciiTheme="minorEastAsia" w:hAnsiTheme="minorEastAsia" w:eastAsiaTheme="minorEastAsia" w:cstheme="minorEastAsia"/>
          <w:bCs/>
          <w:sz w:val="24"/>
          <w:szCs w:val="22"/>
          <w:lang w:eastAsia="zh-CN"/>
        </w:rPr>
        <w:t>唐亚杰</w:t>
      </w:r>
    </w:p>
    <w:p w14:paraId="2DF7CED9">
      <w:pPr>
        <w:spacing w:line="360" w:lineRule="auto"/>
        <w:ind w:firstLine="480" w:firstLineChars="200"/>
        <w:jc w:val="both"/>
        <w:rPr>
          <w:bCs/>
          <w:sz w:val="24"/>
          <w:lang w:eastAsia="zh-CN"/>
        </w:rPr>
      </w:pPr>
      <w:r>
        <w:rPr>
          <w:rFonts w:hint="eastAsia"/>
          <w:bCs/>
          <w:sz w:val="24"/>
          <w:lang w:eastAsia="zh-CN"/>
        </w:rPr>
        <w:t>电话：010-</w:t>
      </w:r>
      <w:r>
        <w:rPr>
          <w:rFonts w:hint="eastAsia" w:asciiTheme="minorEastAsia" w:hAnsiTheme="minorEastAsia" w:eastAsiaTheme="minorEastAsia" w:cstheme="minorEastAsia"/>
          <w:bCs/>
          <w:sz w:val="24"/>
          <w:szCs w:val="22"/>
          <w:lang w:eastAsia="zh-CN"/>
        </w:rPr>
        <w:t>68286868</w:t>
      </w:r>
    </w:p>
    <w:p w14:paraId="1B5C22D3">
      <w:pPr>
        <w:spacing w:line="360" w:lineRule="auto"/>
        <w:ind w:firstLine="480" w:firstLineChars="200"/>
        <w:jc w:val="both"/>
        <w:rPr>
          <w:bCs/>
          <w:sz w:val="24"/>
          <w:lang w:eastAsia="zh-CN"/>
        </w:rPr>
      </w:pPr>
      <w:r>
        <w:rPr>
          <w:rFonts w:hint="eastAsia"/>
          <w:bCs/>
          <w:sz w:val="24"/>
          <w:lang w:eastAsia="zh-CN"/>
        </w:rPr>
        <w:t>传真：010-</w:t>
      </w:r>
      <w:r>
        <w:rPr>
          <w:rFonts w:hint="eastAsia" w:asciiTheme="minorEastAsia" w:hAnsiTheme="minorEastAsia" w:eastAsiaTheme="minorEastAsia" w:cstheme="minorEastAsia"/>
          <w:bCs/>
          <w:sz w:val="24"/>
          <w:szCs w:val="22"/>
          <w:lang w:eastAsia="zh-CN"/>
        </w:rPr>
        <w:t>88210608</w:t>
      </w:r>
    </w:p>
    <w:p w14:paraId="4F6948B6">
      <w:pPr>
        <w:spacing w:line="360" w:lineRule="auto"/>
        <w:ind w:firstLine="480" w:firstLineChars="200"/>
        <w:jc w:val="both"/>
        <w:rPr>
          <w:bCs/>
          <w:sz w:val="24"/>
          <w:lang w:eastAsia="zh-CN"/>
        </w:rPr>
      </w:pPr>
      <w:r>
        <w:rPr>
          <w:rFonts w:hint="eastAsia"/>
          <w:bCs/>
          <w:sz w:val="24"/>
          <w:lang w:eastAsia="zh-CN"/>
        </w:rPr>
        <w:t>经办注册会计师：</w:t>
      </w:r>
      <w:r>
        <w:rPr>
          <w:rFonts w:hint="eastAsia" w:asciiTheme="minorEastAsia" w:hAnsiTheme="minorEastAsia" w:eastAsiaTheme="minorEastAsia" w:cstheme="minorEastAsia"/>
          <w:bCs/>
          <w:sz w:val="24"/>
          <w:szCs w:val="22"/>
          <w:lang w:eastAsia="zh-CN"/>
        </w:rPr>
        <w:t>李永江、高慧丽</w:t>
      </w:r>
    </w:p>
    <w:p w14:paraId="6054C709">
      <w:pPr>
        <w:rPr>
          <w:bCs/>
          <w:sz w:val="24"/>
          <w:lang w:eastAsia="zh-CN"/>
        </w:rPr>
      </w:pPr>
      <w:r>
        <w:rPr>
          <w:bCs/>
          <w:sz w:val="24"/>
          <w:lang w:eastAsia="zh-CN"/>
        </w:rPr>
        <w:br w:type="page"/>
      </w:r>
    </w:p>
    <w:p w14:paraId="3376EBDC">
      <w:pPr>
        <w:pStyle w:val="2"/>
        <w:keepNext/>
        <w:keepLines/>
        <w:autoSpaceDE/>
        <w:autoSpaceDN/>
        <w:spacing w:before="0" w:line="360" w:lineRule="auto"/>
        <w:ind w:left="0"/>
        <w:jc w:val="center"/>
        <w:rPr>
          <w:sz w:val="11"/>
          <w:szCs w:val="21"/>
          <w:lang w:eastAsia="zh-CN"/>
        </w:rPr>
      </w:pPr>
      <w:bookmarkStart w:id="29" w:name="_bookmark5"/>
      <w:bookmarkEnd w:id="29"/>
      <w:bookmarkStart w:id="30" w:name="_Toc69831244"/>
      <w:r>
        <w:rPr>
          <w:rFonts w:ascii="Times New Roman" w:hAnsi="Times New Roman" w:cs="Times New Roman"/>
          <w:b/>
          <w:szCs w:val="20"/>
          <w:lang w:eastAsia="zh-CN" w:bidi="ar-SA"/>
        </w:rPr>
        <w:t>第六部分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基金的募集</w:t>
      </w:r>
      <w:bookmarkEnd w:id="30"/>
    </w:p>
    <w:p w14:paraId="4D27EEA9">
      <w:pPr>
        <w:spacing w:line="360" w:lineRule="auto"/>
        <w:ind w:firstLine="480" w:firstLineChars="200"/>
        <w:rPr>
          <w:bCs/>
          <w:sz w:val="24"/>
          <w:lang w:eastAsia="zh-CN"/>
        </w:rPr>
      </w:pPr>
    </w:p>
    <w:p w14:paraId="55520D5B">
      <w:pPr>
        <w:spacing w:line="360" w:lineRule="auto"/>
        <w:ind w:firstLine="480" w:firstLineChars="200"/>
        <w:jc w:val="both"/>
        <w:rPr>
          <w:bCs/>
          <w:sz w:val="24"/>
          <w:lang w:eastAsia="zh-CN"/>
        </w:rPr>
      </w:pPr>
      <w:bookmarkStart w:id="31" w:name="_bookmark6"/>
      <w:bookmarkEnd w:id="31"/>
      <w:r>
        <w:rPr>
          <w:rFonts w:hint="eastAsia"/>
          <w:bCs/>
          <w:sz w:val="24"/>
          <w:lang w:eastAsia="zh-CN"/>
        </w:rPr>
        <w:t>国新国证鑫泰三个月定期开放债券型证券投资基金（以下简称“本基金”）经</w:t>
      </w:r>
      <w:r>
        <w:rPr>
          <w:rFonts w:ascii="宋体" w:hAnsi="宋体" w:eastAsia="宋体" w:cs="宋体"/>
          <w:sz w:val="24"/>
          <w:szCs w:val="24"/>
        </w:rPr>
        <w:t>中国证监会证监许可[2023]386号文准予注册。</w:t>
      </w:r>
      <w:r>
        <w:rPr>
          <w:rFonts w:hint="eastAsia"/>
          <w:bCs/>
          <w:sz w:val="24"/>
          <w:lang w:eastAsia="zh-CN"/>
        </w:rPr>
        <w:t>于自2023年5月8日至2023年5月1</w:t>
      </w:r>
      <w:r>
        <w:rPr>
          <w:rFonts w:hint="eastAsia"/>
          <w:bCs/>
          <w:sz w:val="24"/>
          <w:lang w:val="en-US" w:eastAsia="zh-CN"/>
        </w:rPr>
        <w:t>6</w:t>
      </w:r>
      <w:r>
        <w:rPr>
          <w:rFonts w:hint="eastAsia"/>
          <w:bCs/>
          <w:sz w:val="24"/>
          <w:lang w:eastAsia="zh-CN"/>
        </w:rPr>
        <w:t>日向全社会公开募集，于20</w:t>
      </w:r>
      <w:r>
        <w:rPr>
          <w:rFonts w:hint="eastAsia"/>
          <w:bCs/>
          <w:sz w:val="24"/>
          <w:lang w:val="en-US" w:eastAsia="zh-CN"/>
        </w:rPr>
        <w:t>23</w:t>
      </w:r>
      <w:r>
        <w:rPr>
          <w:rFonts w:hint="eastAsia"/>
          <w:bCs/>
          <w:sz w:val="24"/>
          <w:lang w:eastAsia="zh-CN"/>
        </w:rPr>
        <w:t>年</w:t>
      </w:r>
      <w:r>
        <w:rPr>
          <w:rFonts w:hint="eastAsia"/>
          <w:bCs/>
          <w:sz w:val="24"/>
          <w:lang w:val="en-US" w:eastAsia="zh-CN"/>
        </w:rPr>
        <w:t>5</w:t>
      </w:r>
      <w:r>
        <w:rPr>
          <w:rFonts w:hint="eastAsia"/>
          <w:bCs/>
          <w:sz w:val="24"/>
          <w:lang w:eastAsia="zh-CN"/>
        </w:rPr>
        <w:t>月</w:t>
      </w:r>
      <w:r>
        <w:rPr>
          <w:rFonts w:hint="eastAsia"/>
          <w:bCs/>
          <w:sz w:val="24"/>
          <w:lang w:val="en-US" w:eastAsia="zh-CN"/>
        </w:rPr>
        <w:t>18</w:t>
      </w:r>
      <w:r>
        <w:rPr>
          <w:rFonts w:hint="eastAsia"/>
          <w:bCs/>
          <w:sz w:val="24"/>
          <w:lang w:eastAsia="zh-CN"/>
        </w:rPr>
        <w:t>日办理完毕基金备案手续基金合同生效。</w:t>
      </w:r>
    </w:p>
    <w:p w14:paraId="4691C4A1">
      <w:pPr>
        <w:spacing w:line="360" w:lineRule="auto"/>
        <w:ind w:firstLine="480" w:firstLineChars="200"/>
        <w:jc w:val="both"/>
        <w:rPr>
          <w:bCs/>
          <w:sz w:val="24"/>
          <w:lang w:eastAsia="zh-CN"/>
        </w:rPr>
      </w:pPr>
      <w:r>
        <w:rPr>
          <w:rFonts w:hint="eastAsia"/>
          <w:bCs/>
          <w:sz w:val="24"/>
          <w:lang w:eastAsia="zh-CN"/>
        </w:rPr>
        <w:t>本次募集有效认购总户数</w:t>
      </w:r>
      <w:r>
        <w:rPr>
          <w:rFonts w:hint="eastAsia"/>
          <w:bCs/>
          <w:sz w:val="24"/>
          <w:lang w:val="en-US" w:eastAsia="zh-CN"/>
        </w:rPr>
        <w:t>310</w:t>
      </w:r>
      <w:r>
        <w:rPr>
          <w:rFonts w:hint="eastAsia"/>
          <w:bCs/>
          <w:sz w:val="24"/>
          <w:lang w:eastAsia="zh-CN"/>
        </w:rPr>
        <w:t>户。按照每份基金份额1.00元人民币计算，设立募集期间募集的有效份额为</w:t>
      </w:r>
      <w:r>
        <w:rPr>
          <w:rFonts w:ascii="宋体" w:hAnsi="宋体" w:eastAsia="宋体" w:cs="宋体"/>
          <w:sz w:val="24"/>
          <w:szCs w:val="24"/>
        </w:rPr>
        <w:t>400,026,773.89</w:t>
      </w:r>
      <w:r>
        <w:rPr>
          <w:rFonts w:hint="eastAsia"/>
          <w:bCs/>
          <w:sz w:val="24"/>
          <w:lang w:eastAsia="zh-CN"/>
        </w:rPr>
        <w:t>份基金份额，利息结转的基金份额为</w:t>
      </w:r>
      <w:r>
        <w:rPr>
          <w:rFonts w:ascii="宋体" w:hAnsi="宋体" w:eastAsia="宋体" w:cs="宋体"/>
          <w:sz w:val="24"/>
          <w:szCs w:val="24"/>
        </w:rPr>
        <w:t>18,611.26</w:t>
      </w:r>
      <w:r>
        <w:rPr>
          <w:rFonts w:hint="eastAsia"/>
          <w:bCs/>
          <w:sz w:val="24"/>
          <w:lang w:eastAsia="zh-CN"/>
        </w:rPr>
        <w:t>份基金份额，两项合计共</w:t>
      </w:r>
      <w:r>
        <w:rPr>
          <w:rFonts w:ascii="宋体" w:hAnsi="宋体" w:eastAsia="宋体" w:cs="宋体"/>
          <w:sz w:val="24"/>
          <w:szCs w:val="24"/>
        </w:rPr>
        <w:t>400,045,385.15</w:t>
      </w:r>
      <w:r>
        <w:rPr>
          <w:rFonts w:hint="eastAsia"/>
          <w:bCs/>
          <w:sz w:val="24"/>
          <w:lang w:eastAsia="zh-CN"/>
        </w:rPr>
        <w:t>份基金份额，已全部记入基金份额持有人基金账户，归各基金份额持有人所有。</w:t>
      </w:r>
    </w:p>
    <w:p w14:paraId="205F6F5C">
      <w:pPr>
        <w:spacing w:line="360" w:lineRule="auto"/>
        <w:ind w:firstLine="480" w:firstLineChars="200"/>
        <w:jc w:val="both"/>
        <w:rPr>
          <w:bCs/>
          <w:sz w:val="24"/>
          <w:lang w:eastAsia="zh-CN"/>
        </w:rPr>
      </w:pPr>
    </w:p>
    <w:p w14:paraId="54126EF5">
      <w:pPr>
        <w:spacing w:line="424" w:lineRule="auto"/>
        <w:rPr>
          <w:lang w:eastAsia="zh-CN"/>
        </w:rPr>
        <w:sectPr>
          <w:pgSz w:w="11910" w:h="16840"/>
          <w:pgMar w:top="1440" w:right="1800" w:bottom="1440" w:left="1800" w:header="873" w:footer="991" w:gutter="0"/>
          <w:cols w:space="720" w:num="1"/>
        </w:sectPr>
      </w:pPr>
    </w:p>
    <w:p w14:paraId="591066EA">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32" w:name="_bookmark7"/>
      <w:bookmarkEnd w:id="32"/>
      <w:bookmarkStart w:id="33" w:name="_Toc69831245"/>
      <w:bookmarkStart w:id="34" w:name="_Hlk115289852"/>
      <w:r>
        <w:rPr>
          <w:rFonts w:ascii="Times New Roman" w:hAnsi="Times New Roman" w:cs="Times New Roman"/>
          <w:b/>
          <w:szCs w:val="20"/>
          <w:lang w:eastAsia="zh-CN" w:bidi="ar-SA"/>
        </w:rPr>
        <w:t>第七部分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基金合同的生效</w:t>
      </w:r>
      <w:bookmarkEnd w:id="33"/>
    </w:p>
    <w:p w14:paraId="11B85D46">
      <w:pPr>
        <w:spacing w:line="360" w:lineRule="auto"/>
        <w:ind w:firstLine="480" w:firstLineChars="200"/>
        <w:rPr>
          <w:bCs/>
          <w:sz w:val="24"/>
          <w:lang w:eastAsia="zh-CN"/>
        </w:rPr>
      </w:pPr>
    </w:p>
    <w:p w14:paraId="1A031FB1">
      <w:pPr>
        <w:spacing w:line="360" w:lineRule="auto"/>
        <w:ind w:firstLine="480" w:firstLineChars="200"/>
        <w:jc w:val="both"/>
        <w:rPr>
          <w:rFonts w:hint="eastAsia"/>
          <w:bCs/>
          <w:sz w:val="24"/>
          <w:lang w:val="en-US" w:eastAsia="zh-CN"/>
        </w:rPr>
      </w:pPr>
      <w:bookmarkStart w:id="35" w:name="_Hlk97496660"/>
      <w:r>
        <w:rPr>
          <w:rFonts w:hint="eastAsia"/>
          <w:bCs/>
          <w:sz w:val="24"/>
          <w:lang w:eastAsia="zh-CN"/>
        </w:rPr>
        <w:t>一、基金</w:t>
      </w:r>
      <w:r>
        <w:rPr>
          <w:rFonts w:hint="eastAsia"/>
          <w:bCs/>
          <w:sz w:val="24"/>
          <w:lang w:val="en-US" w:eastAsia="zh-CN"/>
        </w:rPr>
        <w:t>合同生效</w:t>
      </w:r>
    </w:p>
    <w:p w14:paraId="38102FFC">
      <w:pPr>
        <w:spacing w:line="360" w:lineRule="auto"/>
        <w:ind w:firstLine="480" w:firstLineChars="200"/>
        <w:jc w:val="both"/>
        <w:rPr>
          <w:rFonts w:hint="default"/>
          <w:bCs/>
          <w:sz w:val="24"/>
          <w:lang w:val="en-US" w:eastAsia="zh-CN"/>
        </w:rPr>
      </w:pPr>
      <w:r>
        <w:rPr>
          <w:rFonts w:hint="default"/>
          <w:bCs/>
          <w:sz w:val="24"/>
          <w:lang w:val="en-US" w:eastAsia="zh-CN"/>
        </w:rPr>
        <w:t>根据《基金法》及其配套法规和基金合同的有关规定，本基金的募集情况已符合基金合同生效的条件。本基金于20</w:t>
      </w:r>
      <w:r>
        <w:rPr>
          <w:rFonts w:hint="eastAsia"/>
          <w:bCs/>
          <w:sz w:val="24"/>
          <w:lang w:val="en-US" w:eastAsia="zh-CN"/>
        </w:rPr>
        <w:t>23</w:t>
      </w:r>
      <w:r>
        <w:rPr>
          <w:rFonts w:hint="default"/>
          <w:bCs/>
          <w:sz w:val="24"/>
          <w:lang w:val="en-US" w:eastAsia="zh-CN"/>
        </w:rPr>
        <w:t>年</w:t>
      </w:r>
      <w:r>
        <w:rPr>
          <w:rFonts w:hint="eastAsia"/>
          <w:bCs/>
          <w:sz w:val="24"/>
          <w:lang w:val="en-US" w:eastAsia="zh-CN"/>
        </w:rPr>
        <w:t>5</w:t>
      </w:r>
      <w:r>
        <w:rPr>
          <w:rFonts w:hint="default"/>
          <w:bCs/>
          <w:sz w:val="24"/>
          <w:lang w:val="en-US" w:eastAsia="zh-CN"/>
        </w:rPr>
        <w:t>月</w:t>
      </w:r>
      <w:r>
        <w:rPr>
          <w:rFonts w:hint="eastAsia"/>
          <w:bCs/>
          <w:sz w:val="24"/>
          <w:lang w:val="en-US" w:eastAsia="zh-CN"/>
        </w:rPr>
        <w:t>18</w:t>
      </w:r>
      <w:r>
        <w:rPr>
          <w:rFonts w:hint="default"/>
          <w:bCs/>
          <w:sz w:val="24"/>
          <w:lang w:val="en-US" w:eastAsia="zh-CN"/>
        </w:rPr>
        <w:t>日得到中国证监会书面确认，基金备案手续办理完毕，基金合同自该日起正式生效。</w:t>
      </w:r>
    </w:p>
    <w:p w14:paraId="2529391B">
      <w:pPr>
        <w:spacing w:line="360" w:lineRule="auto"/>
        <w:ind w:firstLine="480" w:firstLineChars="200"/>
        <w:jc w:val="both"/>
        <w:rPr>
          <w:bCs/>
          <w:sz w:val="24"/>
          <w:lang w:eastAsia="zh-CN"/>
        </w:rPr>
      </w:pPr>
      <w:r>
        <w:rPr>
          <w:rFonts w:hint="eastAsia"/>
          <w:bCs/>
          <w:sz w:val="24"/>
          <w:lang w:val="en-US" w:eastAsia="zh-CN"/>
        </w:rPr>
        <w:t>二</w:t>
      </w:r>
      <w:r>
        <w:rPr>
          <w:rFonts w:hint="eastAsia"/>
          <w:bCs/>
          <w:sz w:val="24"/>
          <w:lang w:eastAsia="zh-CN"/>
        </w:rPr>
        <w:t>、基金存续期内的基金份额持有人数量和资产规模</w:t>
      </w:r>
    </w:p>
    <w:bookmarkEnd w:id="35"/>
    <w:p w14:paraId="146F09AE">
      <w:pPr>
        <w:spacing w:line="360" w:lineRule="auto"/>
        <w:ind w:firstLine="480" w:firstLineChars="200"/>
        <w:rPr>
          <w:bCs/>
          <w:sz w:val="24"/>
          <w:lang w:eastAsia="zh-CN"/>
        </w:rPr>
      </w:pPr>
      <w:r>
        <w:rPr>
          <w:rFonts w:hint="eastAsia"/>
          <w:bCs/>
          <w:sz w:val="24"/>
          <w:lang w:eastAsia="zh-CN"/>
        </w:rPr>
        <w:t>《基金合同》生效后，连续20个工作日出现基金份额持有人数量不满200人或者基金资产净值低于5000万元情形的，基金管理人应当在定期报告中予以披露；</w:t>
      </w:r>
    </w:p>
    <w:p w14:paraId="17A9C92A">
      <w:pPr>
        <w:spacing w:line="360" w:lineRule="auto"/>
        <w:ind w:firstLine="480" w:firstLineChars="200"/>
        <w:rPr>
          <w:bCs/>
          <w:sz w:val="24"/>
          <w:lang w:eastAsia="zh-CN"/>
        </w:rPr>
      </w:pPr>
      <w:r>
        <w:rPr>
          <w:rFonts w:hint="eastAsia"/>
          <w:bCs/>
          <w:sz w:val="24"/>
          <w:lang w:eastAsia="zh-CN"/>
        </w:rPr>
        <w:t>《基金合同》生效后的存续期内，发生以下任何一种情形时，将进行基金财产清算并终止基金合同，且无需召开基金份额持有人大会，同时基金管理人应履行相关的监管报告和信息披露程序：</w:t>
      </w:r>
    </w:p>
    <w:p w14:paraId="15C104A5">
      <w:pPr>
        <w:spacing w:line="360" w:lineRule="auto"/>
        <w:ind w:firstLine="480" w:firstLineChars="200"/>
        <w:rPr>
          <w:bCs/>
          <w:sz w:val="24"/>
          <w:lang w:eastAsia="zh-CN"/>
        </w:rPr>
      </w:pPr>
      <w:r>
        <w:rPr>
          <w:rFonts w:hint="eastAsia"/>
          <w:bCs/>
          <w:sz w:val="24"/>
          <w:lang w:eastAsia="zh-CN"/>
        </w:rPr>
        <w:t>（1）某个开放期届满后，本基金的基金份额持有人数量不满200人的；</w:t>
      </w:r>
    </w:p>
    <w:p w14:paraId="073AE86C">
      <w:pPr>
        <w:spacing w:line="360" w:lineRule="auto"/>
        <w:ind w:firstLine="480" w:firstLineChars="200"/>
        <w:rPr>
          <w:bCs/>
          <w:sz w:val="24"/>
          <w:lang w:eastAsia="zh-CN"/>
        </w:rPr>
      </w:pPr>
      <w:r>
        <w:rPr>
          <w:rFonts w:hint="eastAsia"/>
          <w:bCs/>
          <w:sz w:val="24"/>
          <w:lang w:eastAsia="zh-CN"/>
        </w:rPr>
        <w:t>（2）某个开放期届满后，本基金的基金资产净值低于5000万元的。</w:t>
      </w:r>
    </w:p>
    <w:p w14:paraId="1DFA31E3">
      <w:pPr>
        <w:spacing w:line="360" w:lineRule="auto"/>
        <w:ind w:firstLine="480" w:firstLineChars="200"/>
        <w:rPr>
          <w:bCs/>
          <w:sz w:val="24"/>
          <w:lang w:eastAsia="zh-CN"/>
        </w:rPr>
      </w:pPr>
      <w:r>
        <w:rPr>
          <w:bCs/>
          <w:sz w:val="24"/>
          <w:lang w:eastAsia="zh-CN"/>
        </w:rPr>
        <w:t>法律法规</w:t>
      </w:r>
      <w:r>
        <w:rPr>
          <w:rFonts w:hint="eastAsia"/>
          <w:bCs/>
          <w:sz w:val="24"/>
          <w:lang w:eastAsia="zh-CN"/>
        </w:rPr>
        <w:t>、中国证监会或《基金合同》</w:t>
      </w:r>
      <w:r>
        <w:rPr>
          <w:bCs/>
          <w:sz w:val="24"/>
          <w:lang w:eastAsia="zh-CN"/>
        </w:rPr>
        <w:t>另有规定时，从其规定。</w:t>
      </w:r>
    </w:p>
    <w:p w14:paraId="511100E6">
      <w:pPr>
        <w:rPr>
          <w:lang w:eastAsia="zh-CN" w:bidi="ar-SA"/>
        </w:rPr>
      </w:pPr>
    </w:p>
    <w:p w14:paraId="6B11D660">
      <w:pPr>
        <w:spacing w:line="360" w:lineRule="auto"/>
        <w:rPr>
          <w:bCs/>
          <w:sz w:val="24"/>
          <w:lang w:eastAsia="zh-CN"/>
        </w:rPr>
        <w:sectPr>
          <w:pgSz w:w="11910" w:h="16840"/>
          <w:pgMar w:top="1440" w:right="1800" w:bottom="1440" w:left="1800" w:header="873" w:footer="991" w:gutter="0"/>
          <w:cols w:space="720" w:num="1"/>
        </w:sectPr>
      </w:pPr>
    </w:p>
    <w:bookmarkEnd w:id="34"/>
    <w:p w14:paraId="7E69E439">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36" w:name="_bookmark8"/>
      <w:bookmarkEnd w:id="36"/>
      <w:bookmarkStart w:id="37" w:name="_Toc69831246"/>
      <w:bookmarkStart w:id="38" w:name="_Hlk115289876"/>
      <w:r>
        <w:rPr>
          <w:rFonts w:ascii="Times New Roman" w:hAnsi="Times New Roman" w:cs="Times New Roman"/>
          <w:b/>
          <w:szCs w:val="20"/>
          <w:lang w:eastAsia="zh-CN" w:bidi="ar-SA"/>
        </w:rPr>
        <w:t>第</w:t>
      </w:r>
      <w:r>
        <w:rPr>
          <w:rFonts w:hint="eastAsia" w:ascii="Times New Roman" w:hAnsi="Times New Roman" w:cs="Times New Roman"/>
          <w:b/>
          <w:szCs w:val="20"/>
          <w:lang w:eastAsia="zh-CN" w:bidi="ar-SA"/>
        </w:rPr>
        <w:t>八</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基金份额的申购</w:t>
      </w:r>
      <w:r>
        <w:rPr>
          <w:rFonts w:hint="eastAsia" w:ascii="Times New Roman" w:hAnsi="Times New Roman" w:cs="Times New Roman"/>
          <w:b/>
          <w:szCs w:val="20"/>
          <w:lang w:eastAsia="zh-CN" w:bidi="ar-SA"/>
        </w:rPr>
        <w:t>、</w:t>
      </w:r>
      <w:r>
        <w:rPr>
          <w:rFonts w:ascii="Times New Roman" w:hAnsi="Times New Roman" w:cs="Times New Roman"/>
          <w:b/>
          <w:szCs w:val="20"/>
          <w:lang w:eastAsia="zh-CN" w:bidi="ar-SA"/>
        </w:rPr>
        <w:t>赎回</w:t>
      </w:r>
      <w:bookmarkEnd w:id="37"/>
    </w:p>
    <w:p w14:paraId="2147FCDC">
      <w:pPr>
        <w:pStyle w:val="7"/>
        <w:spacing w:before="6"/>
        <w:rPr>
          <w:sz w:val="41"/>
          <w:lang w:eastAsia="zh-CN"/>
        </w:rPr>
      </w:pPr>
    </w:p>
    <w:p w14:paraId="61CFB5BF">
      <w:pPr>
        <w:spacing w:line="360" w:lineRule="auto"/>
        <w:ind w:firstLine="480" w:firstLineChars="200"/>
        <w:jc w:val="both"/>
        <w:rPr>
          <w:bCs/>
          <w:sz w:val="24"/>
          <w:lang w:eastAsia="zh-CN"/>
        </w:rPr>
      </w:pPr>
      <w:bookmarkStart w:id="39" w:name="_Hlk97496722"/>
      <w:r>
        <w:rPr>
          <w:bCs/>
          <w:sz w:val="24"/>
          <w:lang w:eastAsia="zh-CN"/>
        </w:rPr>
        <w:t>一</w:t>
      </w:r>
      <w:r>
        <w:rPr>
          <w:rFonts w:hint="eastAsia"/>
          <w:bCs/>
          <w:sz w:val="24"/>
          <w:lang w:eastAsia="zh-CN"/>
        </w:rPr>
        <w:t>、</w:t>
      </w:r>
      <w:r>
        <w:rPr>
          <w:bCs/>
          <w:sz w:val="24"/>
          <w:lang w:eastAsia="zh-CN"/>
        </w:rPr>
        <w:t>基金投资者范围</w:t>
      </w:r>
    </w:p>
    <w:p w14:paraId="4BDA0859">
      <w:pPr>
        <w:spacing w:line="360" w:lineRule="auto"/>
        <w:ind w:firstLine="480" w:firstLineChars="200"/>
        <w:jc w:val="both"/>
        <w:rPr>
          <w:bCs/>
          <w:sz w:val="24"/>
          <w:lang w:eastAsia="zh-CN"/>
        </w:rPr>
      </w:pPr>
      <w:r>
        <w:rPr>
          <w:rFonts w:hint="eastAsia"/>
          <w:bCs/>
          <w:sz w:val="24"/>
          <w:lang w:eastAsia="zh-CN"/>
        </w:rPr>
        <w:t>符合法律法规规定的可投资于证券投资基金的个人投资者、机构投资者、合格境外机构投资者和人民币合格境外机构投资者以及法律法规或中国证监会允许购买证券投资基金的其他投资人。</w:t>
      </w:r>
    </w:p>
    <w:p w14:paraId="51C1026C">
      <w:pPr>
        <w:spacing w:line="360" w:lineRule="auto"/>
        <w:ind w:firstLine="480" w:firstLineChars="200"/>
        <w:jc w:val="both"/>
        <w:rPr>
          <w:bCs/>
          <w:sz w:val="24"/>
          <w:lang w:eastAsia="zh-CN"/>
        </w:rPr>
      </w:pPr>
      <w:r>
        <w:rPr>
          <w:bCs/>
          <w:sz w:val="24"/>
          <w:lang w:eastAsia="zh-CN"/>
        </w:rPr>
        <w:t>二</w:t>
      </w:r>
      <w:r>
        <w:rPr>
          <w:rFonts w:hint="eastAsia"/>
          <w:bCs/>
          <w:sz w:val="24"/>
          <w:lang w:eastAsia="zh-CN"/>
        </w:rPr>
        <w:t>、</w:t>
      </w:r>
      <w:r>
        <w:rPr>
          <w:bCs/>
          <w:sz w:val="24"/>
          <w:lang w:eastAsia="zh-CN"/>
        </w:rPr>
        <w:t>申购</w:t>
      </w:r>
      <w:r>
        <w:rPr>
          <w:rFonts w:hint="eastAsia"/>
          <w:bCs/>
          <w:sz w:val="24"/>
          <w:lang w:eastAsia="zh-CN"/>
        </w:rPr>
        <w:t>和</w:t>
      </w:r>
      <w:r>
        <w:rPr>
          <w:bCs/>
          <w:sz w:val="24"/>
          <w:lang w:eastAsia="zh-CN"/>
        </w:rPr>
        <w:t>赎回场所</w:t>
      </w:r>
    </w:p>
    <w:p w14:paraId="73068277">
      <w:pPr>
        <w:adjustRightInd w:val="0"/>
        <w:snapToGrid w:val="0"/>
        <w:spacing w:line="360" w:lineRule="auto"/>
        <w:ind w:firstLine="480" w:firstLineChars="200"/>
        <w:rPr>
          <w:bCs/>
          <w:sz w:val="24"/>
          <w:szCs w:val="24"/>
          <w:lang w:eastAsia="zh-CN"/>
        </w:rPr>
      </w:pPr>
      <w:r>
        <w:rPr>
          <w:bCs/>
          <w:sz w:val="24"/>
          <w:szCs w:val="24"/>
          <w:lang w:eastAsia="zh-CN"/>
        </w:rPr>
        <w:t>本基金的申购与赎回将通过销售机构进行。具体的销售网点将由基金管理人在招募说明书或</w:t>
      </w:r>
      <w:r>
        <w:rPr>
          <w:rFonts w:hint="eastAsia"/>
          <w:bCs/>
          <w:sz w:val="24"/>
          <w:szCs w:val="24"/>
          <w:lang w:eastAsia="zh-CN"/>
        </w:rPr>
        <w:t>基金</w:t>
      </w:r>
      <w:r>
        <w:rPr>
          <w:bCs/>
          <w:sz w:val="24"/>
          <w:szCs w:val="24"/>
          <w:lang w:eastAsia="zh-CN"/>
        </w:rPr>
        <w:t>管理人网站中列明。基金管理人可根据情况变更或增减销售机构，并在基金管理人网站公示。基金投资者应当在销售机构办理基金销售业务的营业场所或按销售机构提供的其他方式办理基金份额的申购与赎回。</w:t>
      </w:r>
    </w:p>
    <w:p w14:paraId="338D593B">
      <w:pPr>
        <w:spacing w:line="360" w:lineRule="auto"/>
        <w:ind w:firstLine="480" w:firstLineChars="200"/>
        <w:jc w:val="both"/>
        <w:rPr>
          <w:bCs/>
          <w:sz w:val="24"/>
          <w:lang w:eastAsia="zh-CN"/>
        </w:rPr>
      </w:pPr>
      <w:r>
        <w:rPr>
          <w:bCs/>
          <w:sz w:val="24"/>
          <w:lang w:eastAsia="zh-CN"/>
        </w:rPr>
        <w:t>三</w:t>
      </w:r>
      <w:r>
        <w:rPr>
          <w:rFonts w:hint="eastAsia"/>
          <w:bCs/>
          <w:sz w:val="24"/>
          <w:lang w:eastAsia="zh-CN"/>
        </w:rPr>
        <w:t>、</w:t>
      </w:r>
      <w:r>
        <w:rPr>
          <w:bCs/>
          <w:sz w:val="24"/>
          <w:lang w:eastAsia="zh-CN"/>
        </w:rPr>
        <w:t>申购</w:t>
      </w:r>
      <w:r>
        <w:rPr>
          <w:rFonts w:hint="eastAsia"/>
          <w:bCs/>
          <w:sz w:val="24"/>
          <w:lang w:eastAsia="zh-CN"/>
        </w:rPr>
        <w:t>和</w:t>
      </w:r>
      <w:r>
        <w:rPr>
          <w:bCs/>
          <w:sz w:val="24"/>
          <w:lang w:eastAsia="zh-CN"/>
        </w:rPr>
        <w:t>赎回的开放日及时间</w:t>
      </w:r>
    </w:p>
    <w:p w14:paraId="00972470">
      <w:pPr>
        <w:spacing w:line="360" w:lineRule="auto"/>
        <w:ind w:firstLine="480" w:firstLineChars="200"/>
        <w:jc w:val="both"/>
        <w:rPr>
          <w:bCs/>
          <w:sz w:val="24"/>
          <w:lang w:eastAsia="zh-CN"/>
        </w:rPr>
      </w:pPr>
      <w:r>
        <w:rPr>
          <w:bCs/>
          <w:sz w:val="24"/>
          <w:lang w:eastAsia="zh-CN"/>
        </w:rPr>
        <w:t>1、开放日及开放时间</w:t>
      </w:r>
    </w:p>
    <w:p w14:paraId="3EF9BD1C">
      <w:pPr>
        <w:adjustRightInd w:val="0"/>
        <w:snapToGrid w:val="0"/>
        <w:spacing w:line="360" w:lineRule="auto"/>
        <w:ind w:firstLine="480" w:firstLineChars="200"/>
        <w:rPr>
          <w:bCs/>
          <w:sz w:val="24"/>
          <w:szCs w:val="24"/>
          <w:lang w:eastAsia="zh-CN"/>
        </w:rPr>
      </w:pPr>
      <w:r>
        <w:rPr>
          <w:rFonts w:hint="eastAsia"/>
          <w:bCs/>
          <w:sz w:val="24"/>
          <w:szCs w:val="24"/>
          <w:lang w:eastAsia="zh-CN"/>
        </w:rPr>
        <w:t>投资人在本基金开放期内的开放日办理基金份额的申购和赎回，具体办理时间为上海证券交易所、深圳证券交易所的正常交易日的交易时间，但基金管理人根据法律法规、中国证监会的要求或基金合同的规定公告暂停申购、赎回时除外。在封闭期内，本基金不办理申购、赎回业务，也不上市交易。</w:t>
      </w:r>
    </w:p>
    <w:p w14:paraId="57694F6A">
      <w:pPr>
        <w:adjustRightInd w:val="0"/>
        <w:snapToGrid w:val="0"/>
        <w:spacing w:line="360" w:lineRule="auto"/>
        <w:ind w:firstLine="480" w:firstLineChars="200"/>
        <w:rPr>
          <w:bCs/>
          <w:sz w:val="24"/>
          <w:szCs w:val="24"/>
          <w:lang w:eastAsia="zh-CN"/>
        </w:rPr>
      </w:pPr>
      <w:r>
        <w:rPr>
          <w:rFonts w:hint="eastAsia"/>
          <w:bCs/>
          <w:sz w:val="24"/>
          <w:szCs w:val="24"/>
          <w:lang w:eastAsia="zh-CN"/>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p>
    <w:p w14:paraId="0B3D6D83">
      <w:pPr>
        <w:spacing w:line="360" w:lineRule="auto"/>
        <w:ind w:firstLine="480" w:firstLineChars="200"/>
        <w:jc w:val="both"/>
        <w:rPr>
          <w:bCs/>
          <w:sz w:val="24"/>
          <w:lang w:eastAsia="zh-CN"/>
        </w:rPr>
      </w:pPr>
      <w:r>
        <w:rPr>
          <w:bCs/>
          <w:sz w:val="24"/>
          <w:lang w:eastAsia="zh-CN"/>
        </w:rPr>
        <w:t>2、申购、赎回开始日及业务办理时间</w:t>
      </w:r>
    </w:p>
    <w:p w14:paraId="0D15405F">
      <w:pPr>
        <w:spacing w:line="360" w:lineRule="auto"/>
        <w:ind w:firstLine="480" w:firstLineChars="200"/>
        <w:jc w:val="both"/>
        <w:rPr>
          <w:bCs/>
          <w:sz w:val="24"/>
          <w:szCs w:val="24"/>
          <w:lang w:eastAsia="zh-CN"/>
        </w:rPr>
      </w:pPr>
      <w:r>
        <w:rPr>
          <w:rFonts w:hint="eastAsia"/>
          <w:bCs/>
          <w:sz w:val="24"/>
          <w:szCs w:val="24"/>
          <w:lang w:eastAsia="zh-CN"/>
        </w:rPr>
        <w:t>本基金自每个封闭期结束之日后第一个工作日（包含该日）起进入开放期，期间可以办理申购与赎回业务。本基金每个开放期时长不超过</w:t>
      </w:r>
      <w:r>
        <w:rPr>
          <w:bCs/>
          <w:sz w:val="24"/>
          <w:szCs w:val="24"/>
          <w:lang w:eastAsia="zh-CN"/>
        </w:rPr>
        <w:t>20个工作日，开放期的具体时间以基金管理人届时公告为准。</w:t>
      </w:r>
    </w:p>
    <w:p w14:paraId="51112CA4">
      <w:pPr>
        <w:adjustRightInd w:val="0"/>
        <w:snapToGrid w:val="0"/>
        <w:spacing w:line="360" w:lineRule="auto"/>
        <w:ind w:firstLine="480" w:firstLineChars="200"/>
        <w:rPr>
          <w:bCs/>
          <w:sz w:val="24"/>
          <w:szCs w:val="24"/>
          <w:lang w:eastAsia="zh-CN"/>
        </w:rPr>
      </w:pPr>
      <w:r>
        <w:rPr>
          <w:rFonts w:hint="eastAsia"/>
          <w:bCs/>
          <w:sz w:val="24"/>
          <w:szCs w:val="24"/>
          <w:lang w:eastAsia="zh-CN"/>
        </w:rPr>
        <w:t>如封闭期结束后或在开放期内发生不可抗力或其他情形致使基金无法按时开放或需依据《基金合同》暂停申购与赎回业务的，开放期时间中止计算，在不可抗力或其他情形影响因素消除之日次一工作日起，继续计算该开放期时间，直至满足开放期的要求。基金管理人不得在基金合同约定之外的日期或者时间办理基金份额的申购、赎回或者转换。在开放期内，投资人在基金合同约定之外的日期和时间提出申购、赎回或转换申请且登记机构确认接受的，其基金份额申购、赎回价格为下一开放日基金份额申购、赎回的价格。在开放期最后一个开放日，投资人在基金合同约定之外的时间提出申购、赎回或转换申请的，视为无效申请。开放期以及开放期办理申购与赎回业务的具体事宜见招募说明书及基金管理人届时发布的相关公告。</w:t>
      </w:r>
    </w:p>
    <w:p w14:paraId="5E013CD6">
      <w:pPr>
        <w:spacing w:line="360" w:lineRule="auto"/>
        <w:ind w:firstLine="480" w:firstLineChars="200"/>
        <w:jc w:val="both"/>
        <w:rPr>
          <w:bCs/>
          <w:sz w:val="24"/>
          <w:lang w:eastAsia="zh-CN"/>
        </w:rPr>
      </w:pPr>
      <w:r>
        <w:rPr>
          <w:bCs/>
          <w:sz w:val="24"/>
          <w:lang w:eastAsia="zh-CN"/>
        </w:rPr>
        <w:t>四</w:t>
      </w:r>
      <w:r>
        <w:rPr>
          <w:rFonts w:hint="eastAsia"/>
          <w:bCs/>
          <w:sz w:val="24"/>
          <w:lang w:eastAsia="zh-CN"/>
        </w:rPr>
        <w:t>、</w:t>
      </w:r>
      <w:r>
        <w:rPr>
          <w:bCs/>
          <w:sz w:val="24"/>
          <w:lang w:eastAsia="zh-CN"/>
        </w:rPr>
        <w:t>申购与赎回的原则</w:t>
      </w:r>
    </w:p>
    <w:p w14:paraId="74DDF8D5">
      <w:pPr>
        <w:adjustRightInd w:val="0"/>
        <w:snapToGrid w:val="0"/>
        <w:spacing w:line="360" w:lineRule="auto"/>
        <w:ind w:firstLine="480" w:firstLineChars="200"/>
        <w:rPr>
          <w:bCs/>
          <w:sz w:val="24"/>
          <w:szCs w:val="24"/>
          <w:lang w:eastAsia="zh-CN"/>
        </w:rPr>
      </w:pPr>
      <w:r>
        <w:rPr>
          <w:bCs/>
          <w:sz w:val="24"/>
          <w:szCs w:val="24"/>
          <w:lang w:eastAsia="zh-CN"/>
        </w:rPr>
        <w:t>1、“未知价”原则，即申购、赎回价格以申请当日收市后计算的基金份额净值为基准进行计算；</w:t>
      </w:r>
    </w:p>
    <w:p w14:paraId="2FE0EFC5">
      <w:pPr>
        <w:adjustRightInd w:val="0"/>
        <w:snapToGrid w:val="0"/>
        <w:spacing w:line="360" w:lineRule="auto"/>
        <w:ind w:firstLine="480" w:firstLineChars="200"/>
        <w:rPr>
          <w:bCs/>
          <w:sz w:val="24"/>
          <w:szCs w:val="24"/>
          <w:lang w:eastAsia="zh-CN"/>
        </w:rPr>
      </w:pPr>
      <w:r>
        <w:rPr>
          <w:bCs/>
          <w:sz w:val="24"/>
          <w:szCs w:val="24"/>
          <w:lang w:eastAsia="zh-CN"/>
        </w:rPr>
        <w:t>2、“金额申购、份额赎回”原则，即申购以金额申请，赎回以份额申请；</w:t>
      </w:r>
    </w:p>
    <w:p w14:paraId="3CF597A8">
      <w:pPr>
        <w:adjustRightInd w:val="0"/>
        <w:snapToGrid w:val="0"/>
        <w:spacing w:line="360" w:lineRule="auto"/>
        <w:ind w:firstLine="480" w:firstLineChars="200"/>
        <w:rPr>
          <w:bCs/>
          <w:sz w:val="24"/>
          <w:szCs w:val="24"/>
          <w:lang w:eastAsia="zh-CN"/>
        </w:rPr>
      </w:pPr>
      <w:r>
        <w:rPr>
          <w:bCs/>
          <w:sz w:val="24"/>
          <w:szCs w:val="24"/>
          <w:lang w:eastAsia="zh-CN"/>
        </w:rPr>
        <w:t>3、当日的申购与赎回申请可以在基金管理人规定的时间</w:t>
      </w:r>
      <w:r>
        <w:rPr>
          <w:rFonts w:hint="eastAsia"/>
          <w:bCs/>
          <w:sz w:val="24"/>
          <w:szCs w:val="24"/>
          <w:lang w:eastAsia="zh-CN"/>
        </w:rPr>
        <w:t>以内</w:t>
      </w:r>
      <w:r>
        <w:rPr>
          <w:bCs/>
          <w:sz w:val="24"/>
          <w:szCs w:val="24"/>
          <w:lang w:eastAsia="zh-CN"/>
        </w:rPr>
        <w:t>撤销；</w:t>
      </w:r>
    </w:p>
    <w:p w14:paraId="3FC9DB79">
      <w:pPr>
        <w:adjustRightInd w:val="0"/>
        <w:snapToGrid w:val="0"/>
        <w:spacing w:line="360" w:lineRule="auto"/>
        <w:ind w:firstLine="480" w:firstLineChars="200"/>
        <w:rPr>
          <w:bCs/>
          <w:sz w:val="24"/>
          <w:szCs w:val="24"/>
          <w:lang w:eastAsia="zh-CN"/>
        </w:rPr>
      </w:pPr>
      <w:r>
        <w:rPr>
          <w:bCs/>
          <w:sz w:val="24"/>
          <w:szCs w:val="24"/>
          <w:lang w:eastAsia="zh-CN"/>
        </w:rPr>
        <w:t>4、赎回遵循“先进先出”原则，即按照投资人认购、申购的先后次序进行顺序赎回；</w:t>
      </w:r>
    </w:p>
    <w:p w14:paraId="0A0BD426">
      <w:pPr>
        <w:adjustRightInd w:val="0"/>
        <w:snapToGrid w:val="0"/>
        <w:spacing w:line="360" w:lineRule="auto"/>
        <w:ind w:firstLine="480" w:firstLineChars="200"/>
        <w:rPr>
          <w:bCs/>
          <w:sz w:val="24"/>
          <w:szCs w:val="24"/>
          <w:lang w:eastAsia="zh-CN"/>
        </w:rPr>
      </w:pPr>
      <w:r>
        <w:rPr>
          <w:bCs/>
          <w:sz w:val="24"/>
          <w:szCs w:val="24"/>
          <w:lang w:eastAsia="zh-CN"/>
        </w:rPr>
        <w:t>5、办理申购、赎回业务时，应当遵循基金份额持有人利益优先原则</w:t>
      </w:r>
      <w:r>
        <w:rPr>
          <w:bCs/>
          <w:color w:val="000000"/>
          <w:sz w:val="24"/>
          <w:szCs w:val="24"/>
          <w:lang w:eastAsia="zh-CN"/>
        </w:rPr>
        <w:t>，确保投资者的合法权益不受损害并得到公平对待</w:t>
      </w:r>
      <w:r>
        <w:rPr>
          <w:rFonts w:hint="eastAsia"/>
          <w:bCs/>
          <w:sz w:val="24"/>
          <w:szCs w:val="24"/>
          <w:lang w:eastAsia="zh-CN"/>
        </w:rPr>
        <w:t>。</w:t>
      </w:r>
    </w:p>
    <w:p w14:paraId="3CC5FD37">
      <w:pPr>
        <w:adjustRightInd w:val="0"/>
        <w:snapToGrid w:val="0"/>
        <w:spacing w:line="360" w:lineRule="auto"/>
        <w:ind w:firstLine="480" w:firstLineChars="200"/>
        <w:rPr>
          <w:bCs/>
          <w:sz w:val="24"/>
          <w:szCs w:val="24"/>
          <w:lang w:eastAsia="zh-CN"/>
        </w:rPr>
      </w:pPr>
      <w:r>
        <w:rPr>
          <w:bCs/>
          <w:sz w:val="24"/>
          <w:szCs w:val="24"/>
          <w:lang w:eastAsia="zh-CN"/>
        </w:rPr>
        <w:t>基金管理人可在法律法规允许的情况下，对上述原则进行调整。基金管理人必须在新规则开始实施前依照《信息披露办法》的有关规定在规定媒介上公告。</w:t>
      </w:r>
    </w:p>
    <w:p w14:paraId="00C04686">
      <w:pPr>
        <w:spacing w:line="360" w:lineRule="auto"/>
        <w:ind w:firstLine="480" w:firstLineChars="200"/>
        <w:jc w:val="both"/>
        <w:rPr>
          <w:bCs/>
          <w:sz w:val="24"/>
          <w:lang w:eastAsia="zh-CN"/>
        </w:rPr>
      </w:pPr>
      <w:r>
        <w:rPr>
          <w:bCs/>
          <w:sz w:val="24"/>
          <w:lang w:eastAsia="zh-CN"/>
        </w:rPr>
        <w:t>五</w:t>
      </w:r>
      <w:r>
        <w:rPr>
          <w:rFonts w:hint="eastAsia"/>
          <w:bCs/>
          <w:sz w:val="24"/>
          <w:lang w:eastAsia="zh-CN"/>
        </w:rPr>
        <w:t>、</w:t>
      </w:r>
      <w:r>
        <w:rPr>
          <w:bCs/>
          <w:sz w:val="24"/>
          <w:lang w:eastAsia="zh-CN"/>
        </w:rPr>
        <w:t>申购与赎回的程序</w:t>
      </w:r>
    </w:p>
    <w:p w14:paraId="167B6232">
      <w:pPr>
        <w:adjustRightInd w:val="0"/>
        <w:snapToGrid w:val="0"/>
        <w:spacing w:line="360" w:lineRule="auto"/>
        <w:ind w:firstLine="480" w:firstLineChars="200"/>
        <w:rPr>
          <w:bCs/>
          <w:sz w:val="24"/>
          <w:szCs w:val="24"/>
          <w:lang w:eastAsia="zh-CN"/>
        </w:rPr>
      </w:pPr>
      <w:r>
        <w:rPr>
          <w:bCs/>
          <w:sz w:val="24"/>
          <w:szCs w:val="24"/>
          <w:lang w:eastAsia="zh-CN"/>
        </w:rPr>
        <w:t>1、申购和赎回的申请方式</w:t>
      </w:r>
    </w:p>
    <w:p w14:paraId="27DEDCF3">
      <w:pPr>
        <w:adjustRightInd w:val="0"/>
        <w:snapToGrid w:val="0"/>
        <w:spacing w:line="360" w:lineRule="auto"/>
        <w:ind w:firstLine="480" w:firstLineChars="200"/>
        <w:rPr>
          <w:bCs/>
          <w:sz w:val="24"/>
          <w:szCs w:val="24"/>
          <w:lang w:eastAsia="zh-CN"/>
        </w:rPr>
      </w:pPr>
      <w:r>
        <w:rPr>
          <w:bCs/>
          <w:sz w:val="24"/>
          <w:szCs w:val="24"/>
          <w:lang w:eastAsia="zh-CN"/>
        </w:rPr>
        <w:t>投资人必须根据销售机构规定的程序，在开放日的具体业务办理时间内提出申购或赎回的申请。</w:t>
      </w:r>
    </w:p>
    <w:p w14:paraId="070B98B9">
      <w:pPr>
        <w:adjustRightInd w:val="0"/>
        <w:snapToGrid w:val="0"/>
        <w:spacing w:line="360" w:lineRule="auto"/>
        <w:ind w:firstLine="480" w:firstLineChars="200"/>
        <w:rPr>
          <w:bCs/>
          <w:sz w:val="24"/>
          <w:szCs w:val="24"/>
          <w:lang w:eastAsia="zh-CN"/>
        </w:rPr>
      </w:pPr>
      <w:r>
        <w:rPr>
          <w:bCs/>
          <w:sz w:val="24"/>
          <w:szCs w:val="24"/>
          <w:lang w:eastAsia="zh-CN"/>
        </w:rPr>
        <w:t>2、申购和赎回的款项支付</w:t>
      </w:r>
    </w:p>
    <w:p w14:paraId="3D2C610A">
      <w:pPr>
        <w:adjustRightInd w:val="0"/>
        <w:snapToGrid w:val="0"/>
        <w:spacing w:line="360" w:lineRule="auto"/>
        <w:ind w:firstLine="480" w:firstLineChars="200"/>
        <w:rPr>
          <w:bCs/>
          <w:sz w:val="24"/>
          <w:szCs w:val="24"/>
          <w:lang w:eastAsia="zh-CN"/>
        </w:rPr>
      </w:pPr>
      <w:r>
        <w:rPr>
          <w:bCs/>
          <w:sz w:val="24"/>
          <w:szCs w:val="24"/>
          <w:lang w:val="zh-CN" w:eastAsia="zh-CN"/>
        </w:rPr>
        <w:t>投资人申购基金份额时，必须全额交付申购款项，投资人交付申购款项，申购成立；基金份额登记机构确认基金份额时，申购生效。</w:t>
      </w:r>
    </w:p>
    <w:p w14:paraId="53382276">
      <w:pPr>
        <w:adjustRightInd w:val="0"/>
        <w:snapToGrid w:val="0"/>
        <w:spacing w:line="360" w:lineRule="auto"/>
        <w:ind w:firstLine="480" w:firstLineChars="200"/>
        <w:rPr>
          <w:bCs/>
          <w:sz w:val="24"/>
          <w:szCs w:val="24"/>
          <w:lang w:val="zh-CN" w:eastAsia="zh-CN"/>
        </w:rPr>
      </w:pPr>
      <w:r>
        <w:rPr>
          <w:bCs/>
          <w:sz w:val="24"/>
          <w:szCs w:val="24"/>
          <w:lang w:val="zh-CN" w:eastAsia="zh-CN"/>
        </w:rPr>
        <w:t>基金份额持有人递交赎回申请，赎回成立；基金份额登记机构确认赎回时，赎回生效。投资者赎回申请生效后，基金管理人将在T＋7日</w:t>
      </w:r>
      <w:r>
        <w:rPr>
          <w:rFonts w:hint="eastAsia"/>
          <w:bCs/>
          <w:sz w:val="24"/>
          <w:szCs w:val="24"/>
          <w:lang w:val="zh-CN" w:eastAsia="zh-CN"/>
        </w:rPr>
        <w:t>（</w:t>
      </w:r>
      <w:r>
        <w:rPr>
          <w:bCs/>
          <w:sz w:val="24"/>
          <w:szCs w:val="24"/>
          <w:lang w:val="zh-CN" w:eastAsia="zh-CN"/>
        </w:rPr>
        <w:t>包括该日</w:t>
      </w:r>
      <w:r>
        <w:rPr>
          <w:rFonts w:hint="eastAsia"/>
          <w:bCs/>
          <w:sz w:val="24"/>
          <w:szCs w:val="24"/>
          <w:lang w:val="zh-CN" w:eastAsia="zh-CN"/>
        </w:rPr>
        <w:t>）</w:t>
      </w:r>
      <w:r>
        <w:rPr>
          <w:bCs/>
          <w:sz w:val="24"/>
          <w:szCs w:val="24"/>
          <w:lang w:val="zh-CN" w:eastAsia="zh-CN"/>
        </w:rPr>
        <w:t>内支付赎回款项。在发生巨额赎回时，款项的支付办法参照基金合同有关条款处理。</w:t>
      </w:r>
    </w:p>
    <w:p w14:paraId="5BA3A91E">
      <w:pPr>
        <w:adjustRightInd w:val="0"/>
        <w:snapToGrid w:val="0"/>
        <w:spacing w:line="360" w:lineRule="auto"/>
        <w:ind w:firstLine="480" w:firstLineChars="200"/>
        <w:rPr>
          <w:color w:val="000000"/>
          <w:sz w:val="24"/>
          <w:szCs w:val="24"/>
          <w:lang w:eastAsia="zh-CN"/>
        </w:rPr>
      </w:pPr>
      <w:r>
        <w:rPr>
          <w:color w:val="000000"/>
          <w:sz w:val="24"/>
          <w:szCs w:val="24"/>
          <w:lang w:eastAsia="zh-CN"/>
        </w:rPr>
        <w:t>遇交易所或交易市场数据传输延迟、通讯系统故障、银行数据交换系统故障或</w:t>
      </w:r>
      <w:r>
        <w:rPr>
          <w:rFonts w:hint="eastAsia"/>
          <w:color w:val="000000"/>
          <w:sz w:val="24"/>
          <w:szCs w:val="24"/>
          <w:lang w:eastAsia="zh-CN"/>
        </w:rPr>
        <w:t>其它</w:t>
      </w:r>
      <w:r>
        <w:rPr>
          <w:color w:val="000000"/>
          <w:sz w:val="24"/>
          <w:szCs w:val="24"/>
          <w:lang w:eastAsia="zh-CN"/>
        </w:rPr>
        <w:t>非基金管理人及基金托管人所能控制的因素影响业务处理流程，则赎回款顺延至</w:t>
      </w:r>
      <w:r>
        <w:rPr>
          <w:rFonts w:hint="eastAsia"/>
          <w:color w:val="000000"/>
          <w:sz w:val="24"/>
          <w:szCs w:val="24"/>
          <w:lang w:eastAsia="zh-CN"/>
        </w:rPr>
        <w:t>上述情形</w:t>
      </w:r>
      <w:r>
        <w:rPr>
          <w:color w:val="000000"/>
          <w:sz w:val="24"/>
          <w:szCs w:val="24"/>
          <w:lang w:eastAsia="zh-CN"/>
        </w:rPr>
        <w:t>消除</w:t>
      </w:r>
      <w:r>
        <w:rPr>
          <w:rFonts w:hint="eastAsia"/>
          <w:color w:val="000000"/>
          <w:sz w:val="24"/>
          <w:szCs w:val="24"/>
          <w:lang w:eastAsia="zh-CN"/>
        </w:rPr>
        <w:t>后</w:t>
      </w:r>
      <w:r>
        <w:rPr>
          <w:color w:val="000000"/>
          <w:sz w:val="24"/>
          <w:szCs w:val="24"/>
          <w:lang w:eastAsia="zh-CN"/>
        </w:rPr>
        <w:t>的</w:t>
      </w:r>
      <w:r>
        <w:rPr>
          <w:rFonts w:hint="eastAsia"/>
          <w:color w:val="000000"/>
          <w:sz w:val="24"/>
          <w:szCs w:val="24"/>
          <w:lang w:eastAsia="zh-CN"/>
        </w:rPr>
        <w:t>下</w:t>
      </w:r>
      <w:r>
        <w:rPr>
          <w:color w:val="000000"/>
          <w:sz w:val="24"/>
          <w:szCs w:val="24"/>
          <w:lang w:eastAsia="zh-CN"/>
        </w:rPr>
        <w:t>一个工作日</w:t>
      </w:r>
      <w:r>
        <w:rPr>
          <w:rFonts w:hint="eastAsia"/>
          <w:color w:val="000000"/>
          <w:sz w:val="24"/>
          <w:szCs w:val="24"/>
          <w:lang w:eastAsia="zh-CN"/>
        </w:rPr>
        <w:t>划往投资人银行账户</w:t>
      </w:r>
      <w:r>
        <w:rPr>
          <w:color w:val="000000"/>
          <w:sz w:val="24"/>
          <w:szCs w:val="24"/>
          <w:lang w:eastAsia="zh-CN"/>
        </w:rPr>
        <w:t>。</w:t>
      </w:r>
    </w:p>
    <w:p w14:paraId="79A2BEE0">
      <w:pPr>
        <w:adjustRightInd w:val="0"/>
        <w:snapToGrid w:val="0"/>
        <w:spacing w:line="360" w:lineRule="auto"/>
        <w:ind w:firstLine="480" w:firstLineChars="200"/>
        <w:rPr>
          <w:bCs/>
          <w:sz w:val="24"/>
          <w:szCs w:val="24"/>
          <w:lang w:eastAsia="zh-CN"/>
        </w:rPr>
      </w:pPr>
      <w:r>
        <w:rPr>
          <w:bCs/>
          <w:sz w:val="24"/>
          <w:szCs w:val="24"/>
          <w:lang w:eastAsia="zh-CN"/>
        </w:rPr>
        <w:t>3、申购和赎回申请的确认</w:t>
      </w:r>
    </w:p>
    <w:p w14:paraId="2456DF15">
      <w:pPr>
        <w:adjustRightInd w:val="0"/>
        <w:snapToGrid w:val="0"/>
        <w:spacing w:line="360" w:lineRule="auto"/>
        <w:ind w:firstLine="480" w:firstLineChars="200"/>
        <w:rPr>
          <w:bCs/>
          <w:sz w:val="24"/>
          <w:szCs w:val="24"/>
          <w:lang w:val="zh-CN" w:eastAsia="zh-CN"/>
        </w:rPr>
      </w:pPr>
      <w:r>
        <w:rPr>
          <w:bCs/>
          <w:sz w:val="24"/>
          <w:szCs w:val="24"/>
          <w:lang w:eastAsia="zh-CN"/>
        </w:rPr>
        <w:t>基金管理人应以交易时间结束前受理有效申购和赎回申请的当天作为申购或赎回申请日</w:t>
      </w:r>
      <w:r>
        <w:rPr>
          <w:rFonts w:hint="eastAsia"/>
          <w:bCs/>
          <w:sz w:val="24"/>
          <w:szCs w:val="24"/>
          <w:lang w:eastAsia="zh-CN"/>
        </w:rPr>
        <w:t>（</w:t>
      </w:r>
      <w:r>
        <w:rPr>
          <w:bCs/>
          <w:sz w:val="24"/>
          <w:szCs w:val="24"/>
          <w:lang w:eastAsia="zh-CN"/>
        </w:rPr>
        <w:t>T日</w:t>
      </w:r>
      <w:r>
        <w:rPr>
          <w:rFonts w:hint="eastAsia"/>
          <w:bCs/>
          <w:sz w:val="24"/>
          <w:szCs w:val="24"/>
          <w:lang w:eastAsia="zh-CN"/>
        </w:rPr>
        <w:t>）</w:t>
      </w:r>
      <w:r>
        <w:rPr>
          <w:bCs/>
          <w:sz w:val="24"/>
          <w:szCs w:val="24"/>
          <w:lang w:eastAsia="zh-CN"/>
        </w:rPr>
        <w:t>，在正常情况下，本基金登记机构在T+1日内对该交易的有效性进行确认。T日提交的有效申请，投资人</w:t>
      </w:r>
      <w:r>
        <w:rPr>
          <w:rFonts w:hint="eastAsia"/>
          <w:bCs/>
          <w:sz w:val="24"/>
          <w:szCs w:val="24"/>
          <w:lang w:eastAsia="zh-CN"/>
        </w:rPr>
        <w:t>应</w:t>
      </w:r>
      <w:r>
        <w:rPr>
          <w:bCs/>
          <w:sz w:val="24"/>
          <w:szCs w:val="24"/>
          <w:lang w:eastAsia="zh-CN"/>
        </w:rPr>
        <w:t>在T+2日后</w:t>
      </w:r>
      <w:r>
        <w:rPr>
          <w:rFonts w:hint="eastAsia"/>
          <w:bCs/>
          <w:sz w:val="24"/>
          <w:szCs w:val="24"/>
          <w:lang w:eastAsia="zh-CN"/>
        </w:rPr>
        <w:t>（</w:t>
      </w:r>
      <w:r>
        <w:rPr>
          <w:bCs/>
          <w:sz w:val="24"/>
          <w:szCs w:val="24"/>
          <w:lang w:eastAsia="zh-CN"/>
        </w:rPr>
        <w:t>包括该日</w:t>
      </w:r>
      <w:r>
        <w:rPr>
          <w:rFonts w:hint="eastAsia"/>
          <w:bCs/>
          <w:sz w:val="24"/>
          <w:szCs w:val="24"/>
          <w:lang w:eastAsia="zh-CN"/>
        </w:rPr>
        <w:t>）及时</w:t>
      </w:r>
      <w:r>
        <w:rPr>
          <w:bCs/>
          <w:sz w:val="24"/>
          <w:szCs w:val="24"/>
          <w:lang w:eastAsia="zh-CN"/>
        </w:rPr>
        <w:t>到销售网点柜台或以销售机构规定的其他方式查询申请的确认情况。若申购不</w:t>
      </w:r>
      <w:r>
        <w:rPr>
          <w:rFonts w:hint="eastAsia"/>
          <w:bCs/>
          <w:sz w:val="24"/>
          <w:szCs w:val="24"/>
          <w:lang w:eastAsia="zh-CN"/>
        </w:rPr>
        <w:t>成立或无效</w:t>
      </w:r>
      <w:r>
        <w:rPr>
          <w:bCs/>
          <w:sz w:val="24"/>
          <w:szCs w:val="24"/>
          <w:lang w:eastAsia="zh-CN"/>
        </w:rPr>
        <w:t>，则申购款项</w:t>
      </w:r>
      <w:r>
        <w:rPr>
          <w:rFonts w:hint="eastAsia"/>
          <w:bCs/>
          <w:sz w:val="24"/>
          <w:szCs w:val="24"/>
          <w:lang w:eastAsia="zh-CN"/>
        </w:rPr>
        <w:t>本金</w:t>
      </w:r>
      <w:r>
        <w:rPr>
          <w:bCs/>
          <w:sz w:val="24"/>
          <w:szCs w:val="24"/>
          <w:lang w:eastAsia="zh-CN"/>
        </w:rPr>
        <w:t>退还给投资人。</w:t>
      </w:r>
    </w:p>
    <w:p w14:paraId="3B7F3C94">
      <w:pPr>
        <w:adjustRightInd w:val="0"/>
        <w:snapToGrid w:val="0"/>
        <w:spacing w:line="360" w:lineRule="auto"/>
        <w:ind w:firstLine="480" w:firstLineChars="200"/>
        <w:rPr>
          <w:bCs/>
          <w:sz w:val="24"/>
          <w:szCs w:val="24"/>
          <w:lang w:eastAsia="zh-CN"/>
        </w:rPr>
      </w:pPr>
      <w:r>
        <w:rPr>
          <w:bCs/>
          <w:sz w:val="24"/>
          <w:szCs w:val="24"/>
          <w:lang w:eastAsia="zh-CN"/>
        </w:rPr>
        <w:t>销售机构对申购、赎回申请的受理并不代表</w:t>
      </w:r>
      <w:r>
        <w:rPr>
          <w:rFonts w:hint="eastAsia"/>
          <w:bCs/>
          <w:sz w:val="24"/>
          <w:szCs w:val="24"/>
          <w:lang w:eastAsia="zh-CN"/>
        </w:rPr>
        <w:t>该</w:t>
      </w:r>
      <w:r>
        <w:rPr>
          <w:bCs/>
          <w:sz w:val="24"/>
          <w:szCs w:val="24"/>
          <w:lang w:eastAsia="zh-CN"/>
        </w:rPr>
        <w:t>申请一定成功，而仅代表销售机构确实接收到</w:t>
      </w:r>
      <w:r>
        <w:rPr>
          <w:rFonts w:hint="eastAsia"/>
          <w:bCs/>
          <w:sz w:val="24"/>
          <w:szCs w:val="24"/>
          <w:lang w:eastAsia="zh-CN"/>
        </w:rPr>
        <w:t>申购、赎回</w:t>
      </w:r>
      <w:r>
        <w:rPr>
          <w:bCs/>
          <w:sz w:val="24"/>
          <w:szCs w:val="24"/>
          <w:lang w:eastAsia="zh-CN"/>
        </w:rPr>
        <w:t>申请。申购、赎回申请的确认以</w:t>
      </w:r>
      <w:r>
        <w:rPr>
          <w:rFonts w:hint="eastAsia"/>
          <w:bCs/>
          <w:sz w:val="24"/>
          <w:szCs w:val="24"/>
          <w:lang w:eastAsia="zh-CN"/>
        </w:rPr>
        <w:t>基金</w:t>
      </w:r>
      <w:r>
        <w:rPr>
          <w:bCs/>
          <w:sz w:val="24"/>
          <w:szCs w:val="24"/>
          <w:lang w:eastAsia="zh-CN"/>
        </w:rPr>
        <w:t>登记机构的确认结果为准。对于</w:t>
      </w:r>
      <w:r>
        <w:rPr>
          <w:rFonts w:hint="eastAsia"/>
          <w:bCs/>
          <w:sz w:val="24"/>
          <w:szCs w:val="24"/>
          <w:lang w:eastAsia="zh-CN"/>
        </w:rPr>
        <w:t>申购、赎回</w:t>
      </w:r>
      <w:r>
        <w:rPr>
          <w:bCs/>
          <w:sz w:val="24"/>
          <w:szCs w:val="24"/>
          <w:lang w:eastAsia="zh-CN"/>
        </w:rPr>
        <w:t>申请的确认情况，投资人应及时查询并妥善行使合法权利。</w:t>
      </w:r>
    </w:p>
    <w:p w14:paraId="0C6DA78E">
      <w:pPr>
        <w:adjustRightInd w:val="0"/>
        <w:snapToGrid w:val="0"/>
        <w:spacing w:line="360" w:lineRule="auto"/>
        <w:ind w:firstLine="480" w:firstLineChars="200"/>
        <w:rPr>
          <w:bCs/>
          <w:sz w:val="24"/>
          <w:szCs w:val="24"/>
          <w:lang w:val="zh-CN" w:eastAsia="zh-CN"/>
        </w:rPr>
      </w:pPr>
      <w:r>
        <w:rPr>
          <w:bCs/>
          <w:sz w:val="24"/>
          <w:szCs w:val="24"/>
          <w:lang w:val="zh-CN" w:eastAsia="zh-CN"/>
        </w:rPr>
        <w:t>基金管理人可以在法律法规和基金合同允许的范围内，对上述业务进行调整，并在调整实施前依照《信息披露办法》的有关规定在规定媒介上公告。</w:t>
      </w:r>
    </w:p>
    <w:bookmarkEnd w:id="39"/>
    <w:p w14:paraId="5CD4B39E">
      <w:pPr>
        <w:spacing w:line="360" w:lineRule="auto"/>
        <w:ind w:firstLine="480" w:firstLineChars="200"/>
        <w:jc w:val="both"/>
        <w:rPr>
          <w:bCs/>
          <w:sz w:val="24"/>
          <w:lang w:eastAsia="zh-CN"/>
        </w:rPr>
      </w:pPr>
      <w:r>
        <w:rPr>
          <w:bCs/>
          <w:sz w:val="24"/>
          <w:lang w:eastAsia="zh-CN"/>
        </w:rPr>
        <w:t>六</w:t>
      </w:r>
      <w:r>
        <w:rPr>
          <w:rFonts w:hint="eastAsia"/>
          <w:bCs/>
          <w:sz w:val="24"/>
          <w:lang w:eastAsia="zh-CN"/>
        </w:rPr>
        <w:t>、</w:t>
      </w:r>
      <w:r>
        <w:rPr>
          <w:bCs/>
          <w:sz w:val="24"/>
          <w:lang w:eastAsia="zh-CN"/>
        </w:rPr>
        <w:t>申购与赎回的数额限制</w:t>
      </w:r>
    </w:p>
    <w:p w14:paraId="52D9BD5D">
      <w:pPr>
        <w:spacing w:line="360" w:lineRule="auto"/>
        <w:ind w:firstLine="480" w:firstLineChars="200"/>
        <w:jc w:val="both"/>
        <w:rPr>
          <w:bCs/>
          <w:sz w:val="24"/>
          <w:lang w:eastAsia="zh-CN"/>
        </w:rPr>
      </w:pPr>
      <w:r>
        <w:rPr>
          <w:bCs/>
          <w:sz w:val="24"/>
          <w:lang w:eastAsia="zh-CN"/>
        </w:rPr>
        <w:t>1、申购金额的限制</w:t>
      </w:r>
    </w:p>
    <w:p w14:paraId="61F27401">
      <w:pPr>
        <w:spacing w:line="360" w:lineRule="auto"/>
        <w:ind w:firstLine="480" w:firstLineChars="200"/>
        <w:jc w:val="both"/>
        <w:rPr>
          <w:bCs/>
          <w:sz w:val="24"/>
          <w:lang w:eastAsia="zh-CN"/>
        </w:rPr>
      </w:pPr>
      <w:r>
        <w:rPr>
          <w:bCs/>
          <w:sz w:val="24"/>
          <w:lang w:eastAsia="zh-CN"/>
        </w:rPr>
        <w:t>投资者首次申购</w:t>
      </w:r>
      <w:r>
        <w:rPr>
          <w:rFonts w:hint="eastAsia"/>
          <w:bCs/>
          <w:sz w:val="24"/>
          <w:lang w:eastAsia="zh-CN"/>
        </w:rPr>
        <w:t>本基金</w:t>
      </w:r>
      <w:r>
        <w:rPr>
          <w:bCs/>
          <w:sz w:val="24"/>
          <w:lang w:eastAsia="zh-CN"/>
        </w:rPr>
        <w:t>的最低限额为人民币</w:t>
      </w:r>
      <w:r>
        <w:rPr>
          <w:rFonts w:hint="eastAsia"/>
          <w:bCs/>
          <w:sz w:val="24"/>
          <w:lang w:eastAsia="zh-CN"/>
        </w:rPr>
        <w:t>1.00</w:t>
      </w:r>
      <w:r>
        <w:rPr>
          <w:bCs/>
          <w:sz w:val="24"/>
          <w:lang w:eastAsia="zh-CN"/>
        </w:rPr>
        <w:t>元，追加申购单笔最低限额为人民币</w:t>
      </w:r>
      <w:r>
        <w:rPr>
          <w:rFonts w:hint="eastAsia"/>
          <w:bCs/>
          <w:sz w:val="24"/>
          <w:lang w:eastAsia="zh-CN"/>
        </w:rPr>
        <w:t>1.00</w:t>
      </w:r>
      <w:r>
        <w:rPr>
          <w:bCs/>
          <w:sz w:val="24"/>
          <w:lang w:eastAsia="zh-CN"/>
        </w:rPr>
        <w:t>元。在符合法律法规规定的前提下，各销售机构对申购限额及交易级差有其他规定的，需同时遵循该销售机构的相关规定（以上金额均含申购费）。</w:t>
      </w:r>
      <w:r>
        <w:rPr>
          <w:rFonts w:hint="eastAsia"/>
          <w:bCs/>
          <w:sz w:val="24"/>
          <w:lang w:eastAsia="zh-CN"/>
        </w:rPr>
        <w:t>投资人将所申购的基金份额当期分配的基金收益转为基金份额时，不受最低申购金额的限制。</w:t>
      </w:r>
    </w:p>
    <w:p w14:paraId="4E7F23E7">
      <w:pPr>
        <w:spacing w:line="360" w:lineRule="auto"/>
        <w:ind w:firstLine="480" w:firstLineChars="200"/>
        <w:jc w:val="both"/>
        <w:rPr>
          <w:bCs/>
          <w:sz w:val="24"/>
          <w:lang w:eastAsia="zh-CN"/>
        </w:rPr>
      </w:pPr>
      <w:r>
        <w:rPr>
          <w:bCs/>
          <w:sz w:val="24"/>
          <w:lang w:eastAsia="zh-CN"/>
        </w:rPr>
        <w:t>基金管理人可以规定单个投资人累计持有的基金份额上限，</w:t>
      </w:r>
      <w:r>
        <w:rPr>
          <w:rFonts w:hint="eastAsia"/>
          <w:bCs/>
          <w:sz w:val="24"/>
          <w:lang w:eastAsia="zh-CN"/>
        </w:rPr>
        <w:t>单个投资人单日申购金额上限和单笔申购金额上限</w:t>
      </w:r>
      <w:r>
        <w:rPr>
          <w:bCs/>
          <w:sz w:val="24"/>
          <w:lang w:eastAsia="zh-CN"/>
        </w:rPr>
        <w:t>，具体规定请参见</w:t>
      </w:r>
      <w:r>
        <w:rPr>
          <w:rFonts w:hint="eastAsia"/>
          <w:bCs/>
          <w:sz w:val="24"/>
          <w:lang w:eastAsia="zh-CN"/>
        </w:rPr>
        <w:t>更新的</w:t>
      </w:r>
      <w:r>
        <w:rPr>
          <w:bCs/>
          <w:sz w:val="24"/>
          <w:lang w:eastAsia="zh-CN"/>
        </w:rPr>
        <w:t>招募说明书或相关公告。</w:t>
      </w:r>
    </w:p>
    <w:p w14:paraId="745476B3">
      <w:pPr>
        <w:spacing w:line="360" w:lineRule="auto"/>
        <w:ind w:firstLine="480" w:firstLineChars="200"/>
        <w:jc w:val="both"/>
        <w:rPr>
          <w:bCs/>
          <w:sz w:val="24"/>
          <w:lang w:eastAsia="zh-CN"/>
        </w:rPr>
      </w:pPr>
      <w:r>
        <w:rPr>
          <w:rFonts w:hint="eastAsia"/>
          <w:bCs/>
          <w:sz w:val="24"/>
          <w:lang w:eastAsia="zh-CN"/>
        </w:rPr>
        <w:t>基金管理人有权规定本基金的总规模限额，以及单日申购金额上限和净申购比例上限，具体规定请参见更新的招募说明书或相关公告。</w:t>
      </w:r>
    </w:p>
    <w:p w14:paraId="13DB0650">
      <w:pPr>
        <w:spacing w:line="360" w:lineRule="auto"/>
        <w:ind w:firstLine="480" w:firstLineChars="200"/>
        <w:jc w:val="both"/>
        <w:rPr>
          <w:bCs/>
          <w:sz w:val="24"/>
          <w:lang w:eastAsia="zh-CN"/>
        </w:rPr>
      </w:pPr>
      <w:r>
        <w:rPr>
          <w:bCs/>
          <w:sz w:val="24"/>
          <w:lang w:eastAsia="zh-CN"/>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w:t>
      </w:r>
      <w:r>
        <w:rPr>
          <w:rFonts w:hint="eastAsia"/>
          <w:bCs/>
          <w:sz w:val="24"/>
          <w:lang w:eastAsia="zh-CN"/>
        </w:rPr>
        <w:t>更新的</w:t>
      </w:r>
      <w:r>
        <w:rPr>
          <w:bCs/>
          <w:sz w:val="24"/>
          <w:lang w:eastAsia="zh-CN"/>
        </w:rPr>
        <w:t>招募说明书或相关公告。</w:t>
      </w:r>
    </w:p>
    <w:p w14:paraId="4A3CC1D3">
      <w:pPr>
        <w:spacing w:line="360" w:lineRule="auto"/>
        <w:ind w:firstLine="480" w:firstLineChars="200"/>
        <w:jc w:val="both"/>
        <w:rPr>
          <w:bCs/>
          <w:sz w:val="24"/>
          <w:lang w:eastAsia="zh-CN"/>
        </w:rPr>
      </w:pPr>
      <w:r>
        <w:rPr>
          <w:bCs/>
          <w:sz w:val="24"/>
          <w:lang w:eastAsia="zh-CN"/>
        </w:rPr>
        <w:t>2、赎回份额的限制</w:t>
      </w:r>
    </w:p>
    <w:p w14:paraId="368B47AF">
      <w:pPr>
        <w:spacing w:line="360" w:lineRule="auto"/>
        <w:ind w:firstLine="480" w:firstLineChars="200"/>
        <w:jc w:val="both"/>
        <w:rPr>
          <w:bCs/>
          <w:sz w:val="24"/>
          <w:lang w:eastAsia="zh-CN"/>
        </w:rPr>
      </w:pPr>
      <w:r>
        <w:rPr>
          <w:bCs/>
          <w:sz w:val="24"/>
          <w:lang w:eastAsia="zh-CN"/>
        </w:rPr>
        <w:t>投资者可将其</w:t>
      </w:r>
      <w:r>
        <w:rPr>
          <w:rFonts w:hint="eastAsia"/>
          <w:bCs/>
          <w:sz w:val="24"/>
          <w:lang w:eastAsia="zh-CN"/>
        </w:rPr>
        <w:t>持有的</w:t>
      </w:r>
      <w:r>
        <w:rPr>
          <w:bCs/>
          <w:sz w:val="24"/>
          <w:lang w:eastAsia="zh-CN"/>
        </w:rPr>
        <w:t>全部或部分基金份额赎回。单笔赎回或转换</w:t>
      </w:r>
      <w:r>
        <w:rPr>
          <w:rFonts w:hint="eastAsia"/>
          <w:bCs/>
          <w:sz w:val="24"/>
          <w:lang w:eastAsia="zh-CN"/>
        </w:rPr>
        <w:t>转出</w:t>
      </w:r>
      <w:r>
        <w:rPr>
          <w:bCs/>
          <w:sz w:val="24"/>
          <w:lang w:eastAsia="zh-CN"/>
        </w:rPr>
        <w:t>不得少于1份（如该</w:t>
      </w:r>
      <w:r>
        <w:rPr>
          <w:rFonts w:hint="eastAsia"/>
          <w:bCs/>
          <w:sz w:val="24"/>
          <w:lang w:eastAsia="zh-CN"/>
        </w:rPr>
        <w:t>基金交易</w:t>
      </w:r>
      <w:r>
        <w:rPr>
          <w:bCs/>
          <w:sz w:val="24"/>
          <w:lang w:eastAsia="zh-CN"/>
        </w:rPr>
        <w:t>账户在该销售机构托管的</w:t>
      </w:r>
      <w:r>
        <w:rPr>
          <w:rFonts w:hint="eastAsia"/>
          <w:bCs/>
          <w:sz w:val="24"/>
          <w:lang w:eastAsia="zh-CN"/>
        </w:rPr>
        <w:t>本基金</w:t>
      </w:r>
      <w:r>
        <w:rPr>
          <w:bCs/>
          <w:sz w:val="24"/>
          <w:lang w:eastAsia="zh-CN"/>
        </w:rPr>
        <w:t>基金</w:t>
      </w:r>
      <w:r>
        <w:rPr>
          <w:rFonts w:hint="eastAsia"/>
          <w:bCs/>
          <w:sz w:val="24"/>
          <w:lang w:eastAsia="zh-CN"/>
        </w:rPr>
        <w:t>份额</w:t>
      </w:r>
      <w:r>
        <w:rPr>
          <w:bCs/>
          <w:sz w:val="24"/>
          <w:lang w:eastAsia="zh-CN"/>
        </w:rPr>
        <w:t>余额不足1份，则必须一次性赎回或</w:t>
      </w:r>
      <w:r>
        <w:rPr>
          <w:rFonts w:hint="eastAsia"/>
          <w:bCs/>
          <w:sz w:val="24"/>
          <w:lang w:eastAsia="zh-CN"/>
        </w:rPr>
        <w:t>转换</w:t>
      </w:r>
      <w:r>
        <w:rPr>
          <w:bCs/>
          <w:sz w:val="24"/>
          <w:lang w:eastAsia="zh-CN"/>
        </w:rPr>
        <w:t>转出</w:t>
      </w:r>
      <w:r>
        <w:rPr>
          <w:rFonts w:hint="eastAsia"/>
          <w:bCs/>
          <w:sz w:val="24"/>
          <w:lang w:eastAsia="zh-CN"/>
        </w:rPr>
        <w:t>本</w:t>
      </w:r>
      <w:r>
        <w:rPr>
          <w:bCs/>
          <w:sz w:val="24"/>
          <w:lang w:eastAsia="zh-CN"/>
        </w:rPr>
        <w:t>基金全部份额）；若某笔赎回</w:t>
      </w:r>
      <w:r>
        <w:rPr>
          <w:rFonts w:hint="eastAsia"/>
          <w:bCs/>
          <w:sz w:val="24"/>
          <w:lang w:eastAsia="zh-CN"/>
        </w:rPr>
        <w:t>或转换转出</w:t>
      </w:r>
      <w:r>
        <w:rPr>
          <w:bCs/>
          <w:sz w:val="24"/>
          <w:lang w:eastAsia="zh-CN"/>
        </w:rPr>
        <w:t>将导致投资者在该销售机构托管的</w:t>
      </w:r>
      <w:r>
        <w:rPr>
          <w:rFonts w:hint="eastAsia"/>
          <w:bCs/>
          <w:sz w:val="24"/>
          <w:lang w:eastAsia="zh-CN"/>
        </w:rPr>
        <w:t>本</w:t>
      </w:r>
      <w:r>
        <w:rPr>
          <w:bCs/>
          <w:sz w:val="24"/>
          <w:lang w:eastAsia="zh-CN"/>
        </w:rPr>
        <w:t>基金</w:t>
      </w:r>
      <w:r>
        <w:rPr>
          <w:rFonts w:hint="eastAsia"/>
          <w:bCs/>
          <w:sz w:val="24"/>
          <w:lang w:eastAsia="zh-CN"/>
        </w:rPr>
        <w:t>基金份额</w:t>
      </w:r>
      <w:r>
        <w:rPr>
          <w:bCs/>
          <w:sz w:val="24"/>
          <w:lang w:eastAsia="zh-CN"/>
        </w:rPr>
        <w:t>余额不足1份时，基金管理人有权将投资者在该销售机构托管的</w:t>
      </w:r>
      <w:r>
        <w:rPr>
          <w:rFonts w:hint="eastAsia"/>
          <w:bCs/>
          <w:sz w:val="24"/>
          <w:lang w:eastAsia="zh-CN"/>
        </w:rPr>
        <w:t>本</w:t>
      </w:r>
      <w:r>
        <w:rPr>
          <w:bCs/>
          <w:sz w:val="24"/>
          <w:lang w:eastAsia="zh-CN"/>
        </w:rPr>
        <w:t>基金剩余份额一次性全部赎回</w:t>
      </w:r>
      <w:r>
        <w:rPr>
          <w:rFonts w:hint="eastAsia"/>
          <w:bCs/>
          <w:sz w:val="24"/>
          <w:lang w:eastAsia="zh-CN"/>
        </w:rPr>
        <w:t>或转换转出</w:t>
      </w:r>
      <w:r>
        <w:rPr>
          <w:bCs/>
          <w:sz w:val="24"/>
          <w:lang w:eastAsia="zh-CN"/>
        </w:rPr>
        <w:t>。在符合法律法规规定的前提下，各销售机构对赎回份额限制有其他规定的，需同时遵循该销售机构的相关规定。</w:t>
      </w:r>
    </w:p>
    <w:p w14:paraId="453394CB">
      <w:pPr>
        <w:spacing w:line="360" w:lineRule="auto"/>
        <w:ind w:firstLine="480" w:firstLineChars="200"/>
        <w:jc w:val="both"/>
        <w:rPr>
          <w:bCs/>
          <w:sz w:val="24"/>
          <w:lang w:eastAsia="zh-CN"/>
        </w:rPr>
      </w:pPr>
      <w:r>
        <w:rPr>
          <w:bCs/>
          <w:sz w:val="24"/>
          <w:lang w:eastAsia="zh-CN"/>
        </w:rPr>
        <w:t>3</w:t>
      </w:r>
      <w:r>
        <w:rPr>
          <w:rFonts w:hint="eastAsia"/>
          <w:bCs/>
          <w:sz w:val="24"/>
          <w:lang w:eastAsia="zh-CN"/>
        </w:rPr>
        <w:t>、</w:t>
      </w:r>
      <w:r>
        <w:rPr>
          <w:bCs/>
          <w:sz w:val="24"/>
          <w:lang w:eastAsia="zh-CN"/>
        </w:rPr>
        <w:t>基金管理人可在法律法规允许的情况下，调整上述规定申购金额和赎回份额</w:t>
      </w:r>
      <w:r>
        <w:rPr>
          <w:rFonts w:hint="eastAsia"/>
          <w:bCs/>
          <w:sz w:val="24"/>
          <w:lang w:eastAsia="zh-CN"/>
        </w:rPr>
        <w:t>等</w:t>
      </w:r>
      <w:r>
        <w:rPr>
          <w:bCs/>
          <w:sz w:val="24"/>
          <w:lang w:eastAsia="zh-CN"/>
        </w:rPr>
        <w:t>数量限制。基金管理人必须在调整实施前依照《信息披露办法》的有关规定在规定媒介上公告。</w:t>
      </w:r>
    </w:p>
    <w:p w14:paraId="455485FE">
      <w:pPr>
        <w:spacing w:line="360" w:lineRule="auto"/>
        <w:ind w:firstLine="480" w:firstLineChars="200"/>
        <w:jc w:val="both"/>
        <w:rPr>
          <w:bCs/>
          <w:sz w:val="24"/>
          <w:lang w:eastAsia="zh-CN"/>
        </w:rPr>
      </w:pPr>
      <w:r>
        <w:rPr>
          <w:bCs/>
          <w:sz w:val="24"/>
          <w:lang w:eastAsia="zh-CN"/>
        </w:rPr>
        <w:t>七</w:t>
      </w:r>
      <w:r>
        <w:rPr>
          <w:rFonts w:hint="eastAsia"/>
          <w:bCs/>
          <w:sz w:val="24"/>
          <w:lang w:eastAsia="zh-CN"/>
        </w:rPr>
        <w:t>、</w:t>
      </w:r>
      <w:r>
        <w:rPr>
          <w:bCs/>
          <w:sz w:val="24"/>
          <w:lang w:eastAsia="zh-CN"/>
        </w:rPr>
        <w:t>基金的申购费和赎回费</w:t>
      </w:r>
    </w:p>
    <w:p w14:paraId="674BDC72">
      <w:pPr>
        <w:spacing w:line="360" w:lineRule="auto"/>
        <w:ind w:firstLine="480" w:firstLineChars="200"/>
        <w:jc w:val="both"/>
        <w:rPr>
          <w:sz w:val="24"/>
          <w:szCs w:val="24"/>
          <w:lang w:eastAsia="zh-CN"/>
        </w:rPr>
      </w:pPr>
      <w:r>
        <w:rPr>
          <w:sz w:val="24"/>
          <w:szCs w:val="24"/>
          <w:lang w:eastAsia="zh-CN"/>
        </w:rPr>
        <w:t>本基金的申购费用由申购基金份额的投资者承担，不列入基金财产，主要用于本基金的市场推广、销售、注册登记等各项费用。本基金的赎回费用由赎回基金份额的基金份额持有人承担，在基金份额持有人赎回基金份额时收取。</w:t>
      </w:r>
    </w:p>
    <w:p w14:paraId="19FC774E">
      <w:pPr>
        <w:numPr>
          <w:ilvl w:val="0"/>
          <w:numId w:val="1"/>
        </w:numPr>
        <w:spacing w:line="360" w:lineRule="auto"/>
        <w:ind w:firstLine="480" w:firstLineChars="200"/>
        <w:jc w:val="both"/>
        <w:rPr>
          <w:sz w:val="24"/>
          <w:szCs w:val="24"/>
        </w:rPr>
      </w:pPr>
      <w:r>
        <w:rPr>
          <w:sz w:val="24"/>
          <w:szCs w:val="24"/>
        </w:rPr>
        <w:t>申购费率</w:t>
      </w:r>
    </w:p>
    <w:p w14:paraId="1C726683">
      <w:pPr>
        <w:spacing w:line="360" w:lineRule="auto"/>
        <w:ind w:firstLine="480" w:firstLineChars="200"/>
        <w:jc w:val="both"/>
        <w:rPr>
          <w:bCs/>
          <w:sz w:val="24"/>
          <w:lang w:eastAsia="zh-CN"/>
        </w:rPr>
      </w:pPr>
      <w:r>
        <w:rPr>
          <w:sz w:val="24"/>
          <w:szCs w:val="24"/>
          <w:lang w:eastAsia="zh-CN"/>
        </w:rPr>
        <w:t>本基金基金份额采用前端收费模式收取基金申购费用。本基金可对投资者通过基金管理人网上直销系统申购本基金实行有差别的费率优惠。</w:t>
      </w:r>
    </w:p>
    <w:p w14:paraId="70678A53">
      <w:pPr>
        <w:spacing w:line="360" w:lineRule="auto"/>
        <w:ind w:firstLine="480" w:firstLineChars="200"/>
        <w:jc w:val="center"/>
        <w:rPr>
          <w:bCs/>
          <w:sz w:val="24"/>
          <w:lang w:eastAsia="zh-CN"/>
        </w:rPr>
      </w:pPr>
      <w:r>
        <w:rPr>
          <w:bCs/>
          <w:sz w:val="24"/>
          <w:lang w:eastAsia="zh-CN"/>
        </w:rPr>
        <w:t>表</w:t>
      </w:r>
      <w:r>
        <w:rPr>
          <w:rFonts w:hint="eastAsia"/>
          <w:bCs/>
          <w:sz w:val="24"/>
          <w:lang w:eastAsia="zh-CN"/>
        </w:rPr>
        <w:t>2 本基金申购费率结构</w:t>
      </w:r>
    </w:p>
    <w:tbl>
      <w:tblPr>
        <w:tblStyle w:val="29"/>
        <w:tblW w:w="502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484"/>
        <w:gridCol w:w="3856"/>
      </w:tblGrid>
      <w:tr w14:paraId="44CCF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 w:hRule="atLeast"/>
          <w:jc w:val="center"/>
        </w:trPr>
        <w:tc>
          <w:tcPr>
            <w:tcW w:w="2688" w:type="pct"/>
            <w:vAlign w:val="center"/>
          </w:tcPr>
          <w:p w14:paraId="670E6A40">
            <w:pPr>
              <w:jc w:val="center"/>
              <w:rPr>
                <w:bCs/>
                <w:sz w:val="24"/>
                <w:szCs w:val="24"/>
                <w:lang w:eastAsia="zh-CN"/>
              </w:rPr>
            </w:pPr>
            <w:r>
              <w:rPr>
                <w:rFonts w:hint="eastAsia" w:ascii="仿宋_GB2312" w:hAnsi="Calibri" w:eastAsia="仿宋_GB2312"/>
                <w:sz w:val="24"/>
                <w:szCs w:val="24"/>
                <w:lang w:eastAsia="zh-CN"/>
              </w:rPr>
              <w:t>申购金额（M）</w:t>
            </w:r>
          </w:p>
        </w:tc>
        <w:tc>
          <w:tcPr>
            <w:tcW w:w="2311" w:type="pct"/>
            <w:vAlign w:val="center"/>
          </w:tcPr>
          <w:p w14:paraId="30A81328">
            <w:pPr>
              <w:jc w:val="center"/>
              <w:rPr>
                <w:bCs/>
                <w:sz w:val="24"/>
                <w:szCs w:val="24"/>
                <w:lang w:eastAsia="zh-CN"/>
              </w:rPr>
            </w:pPr>
            <w:r>
              <w:rPr>
                <w:rFonts w:hint="eastAsia" w:ascii="仿宋_GB2312" w:hAnsi="Calibri" w:eastAsia="仿宋_GB2312"/>
                <w:sz w:val="24"/>
                <w:szCs w:val="24"/>
                <w:lang w:eastAsia="zh-CN"/>
              </w:rPr>
              <w:t>申购费率</w:t>
            </w:r>
          </w:p>
        </w:tc>
      </w:tr>
      <w:tr w14:paraId="033C8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 w:hRule="atLeast"/>
          <w:jc w:val="center"/>
        </w:trPr>
        <w:tc>
          <w:tcPr>
            <w:tcW w:w="2688" w:type="pct"/>
            <w:vAlign w:val="center"/>
          </w:tcPr>
          <w:p w14:paraId="77DCED2E">
            <w:pPr>
              <w:jc w:val="center"/>
              <w:rPr>
                <w:bCs/>
                <w:sz w:val="24"/>
                <w:szCs w:val="24"/>
                <w:lang w:eastAsia="zh-CN"/>
              </w:rPr>
            </w:pPr>
            <w:r>
              <w:rPr>
                <w:rFonts w:ascii="仿宋_GB2312" w:hAnsi="Calibri" w:eastAsia="仿宋_GB2312"/>
                <w:sz w:val="24"/>
                <w:szCs w:val="24"/>
              </w:rPr>
              <w:t>M&lt;</w:t>
            </w:r>
            <w:r>
              <w:rPr>
                <w:rFonts w:hint="eastAsia" w:ascii="仿宋_GB2312" w:hAnsi="Calibri" w:eastAsia="仿宋_GB2312"/>
                <w:sz w:val="24"/>
                <w:szCs w:val="24"/>
              </w:rPr>
              <w:t>100万元</w:t>
            </w:r>
          </w:p>
        </w:tc>
        <w:tc>
          <w:tcPr>
            <w:tcW w:w="2311" w:type="pct"/>
            <w:vAlign w:val="center"/>
          </w:tcPr>
          <w:p w14:paraId="16F8821F">
            <w:pPr>
              <w:ind w:firstLine="480" w:firstLineChars="200"/>
              <w:jc w:val="center"/>
              <w:rPr>
                <w:bCs/>
                <w:sz w:val="24"/>
                <w:szCs w:val="24"/>
                <w:lang w:eastAsia="zh-CN"/>
              </w:rPr>
            </w:pPr>
            <w:r>
              <w:rPr>
                <w:rFonts w:ascii="仿宋_GB2312" w:hAnsi="Calibri" w:eastAsia="仿宋_GB2312"/>
                <w:sz w:val="24"/>
                <w:szCs w:val="24"/>
              </w:rPr>
              <w:t>0.</w:t>
            </w:r>
            <w:r>
              <w:rPr>
                <w:rFonts w:hint="eastAsia" w:ascii="仿宋_GB2312" w:hAnsi="Calibri" w:eastAsia="仿宋_GB2312"/>
                <w:sz w:val="24"/>
                <w:szCs w:val="24"/>
                <w:lang w:eastAsia="zh-CN"/>
              </w:rPr>
              <w:t>8</w:t>
            </w:r>
            <w:r>
              <w:rPr>
                <w:rFonts w:ascii="仿宋_GB2312" w:hAnsi="Calibri" w:eastAsia="仿宋_GB2312"/>
                <w:sz w:val="24"/>
                <w:szCs w:val="24"/>
              </w:rPr>
              <w:t>0%</w:t>
            </w:r>
          </w:p>
        </w:tc>
      </w:tr>
      <w:tr w14:paraId="7618B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 w:hRule="atLeast"/>
          <w:jc w:val="center"/>
        </w:trPr>
        <w:tc>
          <w:tcPr>
            <w:tcW w:w="2688" w:type="pct"/>
            <w:vAlign w:val="center"/>
          </w:tcPr>
          <w:p w14:paraId="43357351">
            <w:pPr>
              <w:jc w:val="center"/>
              <w:rPr>
                <w:bCs/>
                <w:sz w:val="24"/>
                <w:szCs w:val="24"/>
                <w:lang w:eastAsia="zh-CN"/>
              </w:rPr>
            </w:pPr>
            <w:r>
              <w:rPr>
                <w:rFonts w:hint="eastAsia" w:ascii="仿宋_GB2312" w:hAnsi="Calibri" w:eastAsia="仿宋_GB2312"/>
                <w:sz w:val="24"/>
                <w:szCs w:val="24"/>
              </w:rPr>
              <w:t>100万元≤M</w:t>
            </w:r>
            <w:r>
              <w:rPr>
                <w:rFonts w:ascii="仿宋_GB2312" w:hAnsi="Calibri" w:eastAsia="仿宋_GB2312"/>
                <w:sz w:val="24"/>
                <w:szCs w:val="24"/>
              </w:rPr>
              <w:t>&lt;</w:t>
            </w:r>
            <w:r>
              <w:rPr>
                <w:rFonts w:hint="eastAsia" w:ascii="仿宋_GB2312" w:hAnsi="Calibri" w:eastAsia="仿宋_GB2312"/>
                <w:sz w:val="24"/>
                <w:szCs w:val="24"/>
                <w:lang w:eastAsia="zh-CN"/>
              </w:rPr>
              <w:t>3</w:t>
            </w:r>
            <w:r>
              <w:rPr>
                <w:rFonts w:hint="eastAsia" w:ascii="仿宋_GB2312" w:hAnsi="Calibri" w:eastAsia="仿宋_GB2312"/>
                <w:sz w:val="24"/>
                <w:szCs w:val="24"/>
              </w:rPr>
              <w:t>00万元</w:t>
            </w:r>
          </w:p>
        </w:tc>
        <w:tc>
          <w:tcPr>
            <w:tcW w:w="2311" w:type="pct"/>
            <w:vAlign w:val="center"/>
          </w:tcPr>
          <w:p w14:paraId="5278A342">
            <w:pPr>
              <w:ind w:firstLine="480" w:firstLineChars="200"/>
              <w:jc w:val="center"/>
              <w:rPr>
                <w:bCs/>
                <w:sz w:val="24"/>
                <w:szCs w:val="24"/>
                <w:lang w:eastAsia="zh-CN"/>
              </w:rPr>
            </w:pPr>
            <w:r>
              <w:rPr>
                <w:rFonts w:ascii="仿宋_GB2312" w:hAnsi="Calibri" w:eastAsia="仿宋_GB2312"/>
                <w:sz w:val="24"/>
                <w:szCs w:val="24"/>
              </w:rPr>
              <w:t>0.</w:t>
            </w:r>
            <w:r>
              <w:rPr>
                <w:rFonts w:hint="eastAsia" w:ascii="仿宋_GB2312" w:hAnsi="Calibri" w:eastAsia="仿宋_GB2312"/>
                <w:sz w:val="24"/>
                <w:szCs w:val="24"/>
                <w:lang w:eastAsia="zh-CN"/>
              </w:rPr>
              <w:t>5</w:t>
            </w:r>
            <w:r>
              <w:rPr>
                <w:rFonts w:ascii="仿宋_GB2312" w:hAnsi="Calibri" w:eastAsia="仿宋_GB2312"/>
                <w:sz w:val="24"/>
                <w:szCs w:val="24"/>
              </w:rPr>
              <w:t>0%</w:t>
            </w:r>
          </w:p>
        </w:tc>
      </w:tr>
      <w:tr w14:paraId="629E3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 w:hRule="atLeast"/>
          <w:jc w:val="center"/>
        </w:trPr>
        <w:tc>
          <w:tcPr>
            <w:tcW w:w="2688" w:type="pct"/>
            <w:vAlign w:val="center"/>
          </w:tcPr>
          <w:p w14:paraId="08FA9096">
            <w:pPr>
              <w:jc w:val="center"/>
              <w:rPr>
                <w:bCs/>
                <w:sz w:val="24"/>
                <w:szCs w:val="24"/>
                <w:lang w:eastAsia="zh-CN"/>
              </w:rPr>
            </w:pPr>
            <w:r>
              <w:rPr>
                <w:rFonts w:hint="eastAsia" w:ascii="仿宋_GB2312" w:hAnsi="Calibri" w:eastAsia="仿宋_GB2312"/>
                <w:sz w:val="24"/>
                <w:szCs w:val="24"/>
                <w:lang w:eastAsia="zh-CN"/>
              </w:rPr>
              <w:t>3</w:t>
            </w:r>
            <w:r>
              <w:rPr>
                <w:rFonts w:hint="eastAsia" w:ascii="仿宋_GB2312" w:hAnsi="Calibri" w:eastAsia="仿宋_GB2312"/>
                <w:sz w:val="24"/>
                <w:szCs w:val="24"/>
              </w:rPr>
              <w:t>00万元≤M</w:t>
            </w:r>
            <w:r>
              <w:rPr>
                <w:rFonts w:ascii="仿宋_GB2312" w:hAnsi="Calibri" w:eastAsia="仿宋_GB2312"/>
                <w:sz w:val="24"/>
                <w:szCs w:val="24"/>
              </w:rPr>
              <w:t>&lt;</w:t>
            </w:r>
            <w:r>
              <w:rPr>
                <w:rFonts w:hint="eastAsia" w:ascii="仿宋_GB2312" w:hAnsi="Calibri" w:eastAsia="仿宋_GB2312"/>
                <w:sz w:val="24"/>
                <w:szCs w:val="24"/>
                <w:lang w:eastAsia="zh-CN"/>
              </w:rPr>
              <w:t>5</w:t>
            </w:r>
            <w:r>
              <w:rPr>
                <w:rFonts w:hint="eastAsia" w:ascii="仿宋_GB2312" w:hAnsi="Calibri" w:eastAsia="仿宋_GB2312"/>
                <w:sz w:val="24"/>
                <w:szCs w:val="24"/>
              </w:rPr>
              <w:t>00万元</w:t>
            </w:r>
          </w:p>
        </w:tc>
        <w:tc>
          <w:tcPr>
            <w:tcW w:w="2311" w:type="pct"/>
            <w:vAlign w:val="center"/>
          </w:tcPr>
          <w:p w14:paraId="1EB92AE1">
            <w:pPr>
              <w:ind w:firstLine="480" w:firstLineChars="200"/>
              <w:jc w:val="center"/>
              <w:rPr>
                <w:bCs/>
                <w:sz w:val="24"/>
                <w:szCs w:val="24"/>
                <w:lang w:eastAsia="zh-CN"/>
              </w:rPr>
            </w:pPr>
            <w:r>
              <w:rPr>
                <w:rFonts w:ascii="仿宋_GB2312" w:hAnsi="Calibri" w:eastAsia="仿宋_GB2312"/>
                <w:sz w:val="24"/>
                <w:szCs w:val="24"/>
              </w:rPr>
              <w:t>0.</w:t>
            </w:r>
            <w:r>
              <w:rPr>
                <w:rFonts w:hint="eastAsia" w:ascii="仿宋_GB2312" w:hAnsi="Calibri" w:eastAsia="仿宋_GB2312"/>
                <w:sz w:val="24"/>
                <w:szCs w:val="24"/>
                <w:lang w:eastAsia="zh-CN"/>
              </w:rPr>
              <w:t>3</w:t>
            </w:r>
            <w:r>
              <w:rPr>
                <w:rFonts w:ascii="仿宋_GB2312" w:hAnsi="Calibri" w:eastAsia="仿宋_GB2312"/>
                <w:sz w:val="24"/>
                <w:szCs w:val="24"/>
              </w:rPr>
              <w:t>0%</w:t>
            </w:r>
          </w:p>
        </w:tc>
      </w:tr>
      <w:tr w14:paraId="09217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 w:hRule="atLeast"/>
          <w:jc w:val="center"/>
        </w:trPr>
        <w:tc>
          <w:tcPr>
            <w:tcW w:w="2688" w:type="pct"/>
            <w:vAlign w:val="center"/>
          </w:tcPr>
          <w:p w14:paraId="7E000746">
            <w:pPr>
              <w:jc w:val="center"/>
              <w:rPr>
                <w:bCs/>
                <w:sz w:val="24"/>
                <w:szCs w:val="24"/>
                <w:lang w:eastAsia="zh-CN"/>
              </w:rPr>
            </w:pPr>
            <w:r>
              <w:rPr>
                <w:rFonts w:hint="eastAsia" w:ascii="仿宋_GB2312" w:hAnsi="Calibri" w:eastAsia="仿宋_GB2312"/>
                <w:sz w:val="24"/>
                <w:szCs w:val="24"/>
              </w:rPr>
              <w:t>M≥500万元</w:t>
            </w:r>
          </w:p>
        </w:tc>
        <w:tc>
          <w:tcPr>
            <w:tcW w:w="2311" w:type="pct"/>
            <w:vAlign w:val="center"/>
          </w:tcPr>
          <w:p w14:paraId="0761C65D">
            <w:pPr>
              <w:ind w:firstLine="480" w:firstLineChars="200"/>
              <w:jc w:val="center"/>
              <w:rPr>
                <w:bCs/>
                <w:sz w:val="24"/>
                <w:szCs w:val="24"/>
                <w:lang w:eastAsia="zh-CN"/>
              </w:rPr>
            </w:pPr>
            <w:r>
              <w:rPr>
                <w:rFonts w:hint="eastAsia" w:ascii="仿宋_GB2312" w:hAnsi="Calibri" w:eastAsia="仿宋_GB2312"/>
                <w:sz w:val="24"/>
                <w:szCs w:val="24"/>
              </w:rPr>
              <w:t>按笔收取，1000元/笔</w:t>
            </w:r>
          </w:p>
        </w:tc>
      </w:tr>
    </w:tbl>
    <w:p w14:paraId="739C4CDF">
      <w:pPr>
        <w:spacing w:line="360" w:lineRule="auto"/>
        <w:jc w:val="both"/>
        <w:rPr>
          <w:bCs/>
          <w:sz w:val="24"/>
          <w:lang w:eastAsia="zh-CN"/>
        </w:rPr>
      </w:pPr>
    </w:p>
    <w:p w14:paraId="5B0C51D0">
      <w:pPr>
        <w:spacing w:line="360" w:lineRule="auto"/>
        <w:ind w:firstLine="480" w:firstLineChars="200"/>
        <w:jc w:val="both"/>
        <w:rPr>
          <w:bCs/>
          <w:sz w:val="24"/>
          <w:lang w:eastAsia="zh-CN"/>
        </w:rPr>
      </w:pPr>
      <w:r>
        <w:rPr>
          <w:sz w:val="24"/>
          <w:szCs w:val="24"/>
          <w:lang w:eastAsia="zh-CN"/>
        </w:rPr>
        <w:t>在申购费按金额分档的情况下，如果投资者多次申购，申购费适用单笔申购金额所对应的费率。</w:t>
      </w:r>
    </w:p>
    <w:p w14:paraId="19E6B749">
      <w:pPr>
        <w:spacing w:line="360" w:lineRule="auto"/>
        <w:ind w:firstLine="480" w:firstLineChars="200"/>
        <w:jc w:val="both"/>
        <w:rPr>
          <w:bCs/>
          <w:sz w:val="24"/>
          <w:lang w:eastAsia="zh-CN"/>
        </w:rPr>
      </w:pPr>
      <w:r>
        <w:rPr>
          <w:rFonts w:hint="eastAsia"/>
          <w:bCs/>
          <w:sz w:val="24"/>
          <w:lang w:eastAsia="zh-CN"/>
        </w:rPr>
        <w:t>2</w:t>
      </w:r>
      <w:r>
        <w:rPr>
          <w:bCs/>
          <w:sz w:val="24"/>
          <w:lang w:eastAsia="zh-CN"/>
        </w:rPr>
        <w:t>、赎回费率</w:t>
      </w:r>
    </w:p>
    <w:p w14:paraId="2CE1DF67">
      <w:pPr>
        <w:spacing w:line="360" w:lineRule="auto"/>
        <w:ind w:firstLine="480" w:firstLineChars="200"/>
        <w:jc w:val="both"/>
        <w:rPr>
          <w:bCs/>
          <w:sz w:val="24"/>
          <w:lang w:eastAsia="zh-CN"/>
        </w:rPr>
      </w:pPr>
      <w:r>
        <w:rPr>
          <w:bCs/>
          <w:sz w:val="24"/>
          <w:lang w:eastAsia="zh-CN"/>
        </w:rPr>
        <w:t>投资者可将其持有的全部或部分基金份额赎回。</w:t>
      </w:r>
      <w:r>
        <w:rPr>
          <w:rFonts w:hint="eastAsia"/>
          <w:bCs/>
          <w:sz w:val="24"/>
          <w:lang w:eastAsia="zh-CN"/>
        </w:rPr>
        <w:t>赎回费用由赎回基金份额的基金份额持有人承担，在基金份额持有人赎回基金份额时收取</w:t>
      </w:r>
      <w:r>
        <w:rPr>
          <w:bCs/>
          <w:sz w:val="24"/>
          <w:lang w:eastAsia="zh-CN"/>
        </w:rPr>
        <w:t>。本基金对持续持有期少于</w:t>
      </w:r>
      <w:r>
        <w:rPr>
          <w:rFonts w:hint="eastAsia"/>
          <w:bCs/>
          <w:sz w:val="24"/>
          <w:lang w:eastAsia="zh-CN"/>
        </w:rPr>
        <w:t>7</w:t>
      </w:r>
      <w:r>
        <w:rPr>
          <w:bCs/>
          <w:sz w:val="24"/>
          <w:lang w:eastAsia="zh-CN"/>
        </w:rPr>
        <w:t>日的投资人收取的赎回费，全额计入基金资产</w:t>
      </w:r>
      <w:r>
        <w:rPr>
          <w:rFonts w:hint="eastAsia"/>
          <w:bCs/>
          <w:sz w:val="24"/>
          <w:lang w:eastAsia="zh-CN"/>
        </w:rPr>
        <w:t>；赎回费未归入基金财产的部分用于支付登记费和其他必要的手续费。</w:t>
      </w:r>
    </w:p>
    <w:p w14:paraId="5262B4FC">
      <w:pPr>
        <w:spacing w:line="360" w:lineRule="auto"/>
        <w:ind w:firstLine="480" w:firstLineChars="200"/>
        <w:jc w:val="both"/>
        <w:rPr>
          <w:bCs/>
          <w:sz w:val="24"/>
          <w:lang w:eastAsia="zh-CN"/>
        </w:rPr>
      </w:pPr>
      <w:r>
        <w:rPr>
          <w:rFonts w:hint="eastAsia"/>
          <w:bCs/>
          <w:sz w:val="24"/>
          <w:lang w:eastAsia="zh-CN"/>
        </w:rPr>
        <w:t>本基金的赎回费率如下：</w:t>
      </w:r>
    </w:p>
    <w:p w14:paraId="7A9F7888">
      <w:pPr>
        <w:spacing w:line="360" w:lineRule="auto"/>
        <w:ind w:firstLine="480" w:firstLineChars="200"/>
        <w:jc w:val="center"/>
        <w:rPr>
          <w:bCs/>
          <w:sz w:val="24"/>
          <w:lang w:eastAsia="zh-CN"/>
        </w:rPr>
      </w:pPr>
      <w:r>
        <w:rPr>
          <w:bCs/>
          <w:sz w:val="24"/>
          <w:lang w:eastAsia="zh-CN"/>
        </w:rPr>
        <w:t>表</w:t>
      </w:r>
      <w:r>
        <w:rPr>
          <w:rFonts w:hint="eastAsia"/>
          <w:bCs/>
          <w:sz w:val="24"/>
          <w:lang w:eastAsia="zh-CN"/>
        </w:rPr>
        <w:t>3 本基金赎回费率结构</w:t>
      </w:r>
    </w:p>
    <w:tbl>
      <w:tblPr>
        <w:tblStyle w:val="25"/>
        <w:tblW w:w="33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0"/>
        <w:gridCol w:w="3036"/>
      </w:tblGrid>
      <w:tr w14:paraId="76EF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301" w:type="pct"/>
          </w:tcPr>
          <w:p w14:paraId="7C886F1B">
            <w:pPr>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持有期限（T）</w:t>
            </w:r>
          </w:p>
        </w:tc>
        <w:tc>
          <w:tcPr>
            <w:tcW w:w="2698" w:type="pct"/>
          </w:tcPr>
          <w:p w14:paraId="35624C77">
            <w:pPr>
              <w:adjustRightInd w:val="0"/>
              <w:snapToGrid w:val="0"/>
              <w:jc w:val="center"/>
              <w:rPr>
                <w:rFonts w:asciiTheme="minorEastAsia" w:hAnsiTheme="minorEastAsia" w:eastAsiaTheme="minorEastAsia"/>
                <w:bCs/>
                <w:sz w:val="24"/>
                <w:szCs w:val="24"/>
                <w:lang w:eastAsia="zh-CN"/>
              </w:rPr>
            </w:pPr>
            <w:r>
              <w:rPr>
                <w:rFonts w:asciiTheme="minorEastAsia" w:hAnsiTheme="minorEastAsia" w:eastAsiaTheme="minorEastAsia"/>
                <w:sz w:val="24"/>
                <w:szCs w:val="24"/>
                <w:lang w:eastAsia="zh-CN"/>
              </w:rPr>
              <w:t>赎回费率</w:t>
            </w:r>
          </w:p>
        </w:tc>
      </w:tr>
      <w:tr w14:paraId="7759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301" w:type="pct"/>
            <w:vAlign w:val="center"/>
          </w:tcPr>
          <w:p w14:paraId="0FBCFF99">
            <w:pPr>
              <w:adjustRightInd w:val="0"/>
              <w:snapToGrid w:val="0"/>
              <w:jc w:val="center"/>
              <w:rPr>
                <w:rFonts w:asciiTheme="minorEastAsia" w:hAnsiTheme="minorEastAsia" w:eastAsiaTheme="minorEastAsia"/>
                <w:bCs/>
                <w:sz w:val="24"/>
                <w:szCs w:val="24"/>
                <w:lang w:eastAsia="zh-CN"/>
              </w:rPr>
            </w:pPr>
            <w:r>
              <w:rPr>
                <w:rFonts w:asciiTheme="minorEastAsia" w:hAnsiTheme="minorEastAsia" w:eastAsiaTheme="minorEastAsia"/>
                <w:sz w:val="24"/>
                <w:szCs w:val="24"/>
              </w:rPr>
              <w:t>T＜</w:t>
            </w:r>
            <w:r>
              <w:rPr>
                <w:rFonts w:hint="eastAsia" w:asciiTheme="minorEastAsia" w:hAnsiTheme="minorEastAsia" w:eastAsiaTheme="minorEastAsia"/>
                <w:sz w:val="24"/>
                <w:szCs w:val="24"/>
                <w:lang w:eastAsia="zh-CN"/>
              </w:rPr>
              <w:t>7日</w:t>
            </w:r>
          </w:p>
        </w:tc>
        <w:tc>
          <w:tcPr>
            <w:tcW w:w="2698" w:type="pct"/>
            <w:vAlign w:val="center"/>
          </w:tcPr>
          <w:p w14:paraId="62BBC272">
            <w:pPr>
              <w:adjustRightInd w:val="0"/>
              <w:snapToGrid w:val="0"/>
              <w:jc w:val="center"/>
              <w:rPr>
                <w:rFonts w:asciiTheme="minorEastAsia" w:hAnsiTheme="minorEastAsia" w:eastAsiaTheme="minorEastAsia"/>
                <w:bCs/>
                <w:sz w:val="24"/>
                <w:szCs w:val="24"/>
                <w:lang w:eastAsia="zh-CN"/>
              </w:rPr>
            </w:pPr>
            <w:r>
              <w:rPr>
                <w:rFonts w:asciiTheme="minorEastAsia" w:hAnsiTheme="minorEastAsia" w:eastAsiaTheme="minorEastAsia"/>
                <w:sz w:val="24"/>
                <w:szCs w:val="24"/>
              </w:rPr>
              <w:t>1.50%</w:t>
            </w:r>
          </w:p>
        </w:tc>
      </w:tr>
      <w:tr w14:paraId="4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301" w:type="pct"/>
            <w:vAlign w:val="center"/>
          </w:tcPr>
          <w:p w14:paraId="16BADF79">
            <w:pPr>
              <w:adjustRightInd w:val="0"/>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7日≤</w:t>
            </w:r>
            <w:r>
              <w:rPr>
                <w:rFonts w:asciiTheme="minorEastAsia" w:hAnsiTheme="minorEastAsia" w:eastAsiaTheme="minorEastAsia"/>
                <w:sz w:val="24"/>
                <w:szCs w:val="24"/>
              </w:rPr>
              <w:t>T</w:t>
            </w:r>
            <w:r>
              <w:rPr>
                <w:rFonts w:hint="eastAsia" w:asciiTheme="minorEastAsia" w:hAnsiTheme="minorEastAsia" w:eastAsiaTheme="minorEastAsia"/>
                <w:sz w:val="24"/>
                <w:szCs w:val="24"/>
              </w:rPr>
              <w:t>＜30日</w:t>
            </w:r>
          </w:p>
        </w:tc>
        <w:tc>
          <w:tcPr>
            <w:tcW w:w="2698" w:type="pct"/>
            <w:vAlign w:val="center"/>
          </w:tcPr>
          <w:p w14:paraId="7C9DCD42">
            <w:pPr>
              <w:adjustRightInd w:val="0"/>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0.</w:t>
            </w:r>
            <w:r>
              <w:rPr>
                <w:rFonts w:hint="eastAsia" w:asciiTheme="minorEastAsia" w:hAnsiTheme="minorEastAsia" w:eastAsiaTheme="minorEastAsia"/>
                <w:sz w:val="24"/>
                <w:szCs w:val="24"/>
                <w:lang w:eastAsia="zh-CN"/>
              </w:rPr>
              <w:t>10</w:t>
            </w:r>
            <w:r>
              <w:rPr>
                <w:rFonts w:asciiTheme="minorEastAsia" w:hAnsiTheme="minorEastAsia" w:eastAsiaTheme="minorEastAsia"/>
                <w:sz w:val="24"/>
                <w:szCs w:val="24"/>
              </w:rPr>
              <w:t>%</w:t>
            </w:r>
          </w:p>
        </w:tc>
      </w:tr>
      <w:tr w14:paraId="6208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301" w:type="pct"/>
            <w:vAlign w:val="center"/>
          </w:tcPr>
          <w:p w14:paraId="6A2CA731">
            <w:pPr>
              <w:adjustRightInd w:val="0"/>
              <w:snapToGrid w:val="0"/>
              <w:jc w:val="center"/>
              <w:rPr>
                <w:rFonts w:asciiTheme="minorEastAsia" w:hAnsiTheme="minorEastAsia" w:eastAsiaTheme="minorEastAsia"/>
                <w:bCs/>
                <w:sz w:val="24"/>
                <w:szCs w:val="24"/>
                <w:lang w:eastAsia="zh-CN"/>
              </w:rPr>
            </w:pPr>
            <w:r>
              <w:rPr>
                <w:rFonts w:asciiTheme="minorEastAsia" w:hAnsiTheme="minorEastAsia" w:eastAsiaTheme="minorEastAsia"/>
                <w:sz w:val="24"/>
                <w:szCs w:val="24"/>
              </w:rPr>
              <w:t>T</w:t>
            </w:r>
            <w:r>
              <w:rPr>
                <w:rFonts w:hint="eastAsia" w:asciiTheme="minorEastAsia" w:hAnsiTheme="minorEastAsia" w:eastAsiaTheme="minorEastAsia"/>
                <w:bCs/>
                <w:sz w:val="24"/>
                <w:szCs w:val="24"/>
                <w:lang w:eastAsia="zh-CN"/>
              </w:rPr>
              <w:t>≥30日</w:t>
            </w:r>
          </w:p>
        </w:tc>
        <w:tc>
          <w:tcPr>
            <w:tcW w:w="2698" w:type="pct"/>
            <w:vAlign w:val="center"/>
          </w:tcPr>
          <w:p w14:paraId="775415AD">
            <w:pPr>
              <w:adjustRightInd w:val="0"/>
              <w:snapToGrid w:val="0"/>
              <w:jc w:val="center"/>
              <w:rPr>
                <w:rFonts w:asciiTheme="minorEastAsia" w:hAnsiTheme="minorEastAsia" w:eastAsiaTheme="minorEastAsia"/>
                <w:bCs/>
                <w:sz w:val="24"/>
                <w:szCs w:val="24"/>
                <w:lang w:eastAsia="zh-CN"/>
              </w:rPr>
            </w:pPr>
            <w:r>
              <w:rPr>
                <w:rFonts w:asciiTheme="minorEastAsia" w:hAnsiTheme="minorEastAsia" w:eastAsiaTheme="minorEastAsia"/>
                <w:sz w:val="24"/>
                <w:szCs w:val="24"/>
              </w:rPr>
              <w:t>0.</w:t>
            </w:r>
            <w:r>
              <w:rPr>
                <w:rFonts w:hint="eastAsia" w:asciiTheme="minorEastAsia" w:hAnsiTheme="minorEastAsia" w:eastAsiaTheme="minorEastAsia"/>
                <w:sz w:val="24"/>
                <w:szCs w:val="24"/>
                <w:lang w:eastAsia="zh-CN"/>
              </w:rPr>
              <w:t>00</w:t>
            </w:r>
            <w:r>
              <w:rPr>
                <w:rFonts w:asciiTheme="minorEastAsia" w:hAnsiTheme="minorEastAsia" w:eastAsiaTheme="minorEastAsia"/>
                <w:sz w:val="24"/>
                <w:szCs w:val="24"/>
              </w:rPr>
              <w:t>%</w:t>
            </w:r>
          </w:p>
        </w:tc>
      </w:tr>
    </w:tbl>
    <w:p w14:paraId="303F3A11">
      <w:pPr>
        <w:spacing w:before="120" w:beforeLines="50" w:line="360" w:lineRule="auto"/>
        <w:ind w:firstLine="480" w:firstLineChars="200"/>
        <w:jc w:val="both"/>
        <w:rPr>
          <w:rFonts w:asciiTheme="minorEastAsia" w:hAnsiTheme="minorEastAsia" w:eastAsiaTheme="minorEastAsia"/>
          <w:bCs/>
          <w:sz w:val="24"/>
          <w:szCs w:val="24"/>
          <w:lang w:eastAsia="zh-CN"/>
        </w:rPr>
      </w:pPr>
    </w:p>
    <w:p w14:paraId="7CBF5DBB">
      <w:pPr>
        <w:spacing w:line="360" w:lineRule="auto"/>
        <w:ind w:firstLine="480" w:firstLineChars="200"/>
        <w:jc w:val="both"/>
        <w:rPr>
          <w:bCs/>
          <w:sz w:val="24"/>
          <w:lang w:eastAsia="zh-CN"/>
        </w:rPr>
      </w:pPr>
      <w:r>
        <w:rPr>
          <w:rFonts w:hint="eastAsia"/>
          <w:bCs/>
          <w:sz w:val="24"/>
          <w:lang w:eastAsia="zh-CN"/>
        </w:rPr>
        <w:t>3</w:t>
      </w:r>
      <w:r>
        <w:rPr>
          <w:bCs/>
          <w:sz w:val="24"/>
          <w:lang w:eastAsia="zh-CN"/>
        </w:rPr>
        <w:t>、基金管理人可以在基金合同约定的范围内调整费率或收费方式，并最迟应于新的费率或收费方式实施日前依照《信息披露办法》的有关规定在规定媒介上公告。</w:t>
      </w:r>
    </w:p>
    <w:p w14:paraId="09DD1A09">
      <w:pPr>
        <w:spacing w:line="360" w:lineRule="auto"/>
        <w:ind w:firstLine="480" w:firstLineChars="200"/>
        <w:jc w:val="both"/>
        <w:rPr>
          <w:bCs/>
          <w:sz w:val="24"/>
          <w:lang w:eastAsia="zh-CN"/>
        </w:rPr>
      </w:pPr>
      <w:r>
        <w:rPr>
          <w:rFonts w:hint="eastAsia"/>
          <w:bCs/>
          <w:sz w:val="24"/>
          <w:lang w:eastAsia="zh-CN"/>
        </w:rPr>
        <w:t>4</w:t>
      </w:r>
      <w:r>
        <w:rPr>
          <w:bCs/>
          <w:sz w:val="24"/>
          <w:lang w:eastAsia="zh-CN"/>
        </w:rPr>
        <w:t>、基金管理人可以在不违反法律法规规定及基金合同约定的</w:t>
      </w:r>
      <w:r>
        <w:rPr>
          <w:rFonts w:hint="eastAsia"/>
          <w:bCs/>
          <w:sz w:val="24"/>
          <w:lang w:eastAsia="zh-CN"/>
        </w:rPr>
        <w:t>情形</w:t>
      </w:r>
      <w:r>
        <w:rPr>
          <w:bCs/>
          <w:sz w:val="24"/>
          <w:lang w:eastAsia="zh-CN"/>
        </w:rPr>
        <w:t>下根据市场情况制定基金促销计划，定期</w:t>
      </w:r>
      <w:r>
        <w:rPr>
          <w:rFonts w:hint="eastAsia"/>
          <w:bCs/>
          <w:sz w:val="24"/>
          <w:lang w:eastAsia="zh-CN"/>
        </w:rPr>
        <w:t>或</w:t>
      </w:r>
      <w:r>
        <w:rPr>
          <w:bCs/>
          <w:sz w:val="24"/>
          <w:lang w:eastAsia="zh-CN"/>
        </w:rPr>
        <w:t>不定期地开展基金促销活动。在基金促销活动期间，</w:t>
      </w:r>
      <w:r>
        <w:rPr>
          <w:rFonts w:hint="eastAsia"/>
          <w:bCs/>
          <w:sz w:val="24"/>
          <w:lang w:eastAsia="zh-CN"/>
        </w:rPr>
        <w:t>按相关监管部门要求履行必要手续后，</w:t>
      </w:r>
      <w:r>
        <w:rPr>
          <w:bCs/>
          <w:sz w:val="24"/>
          <w:lang w:eastAsia="zh-CN"/>
        </w:rPr>
        <w:t>基金管理人可以适当调低基金</w:t>
      </w:r>
      <w:r>
        <w:rPr>
          <w:rFonts w:hint="eastAsia"/>
          <w:bCs/>
          <w:sz w:val="24"/>
          <w:lang w:eastAsia="zh-CN"/>
        </w:rPr>
        <w:t>申购</w:t>
      </w:r>
      <w:r>
        <w:rPr>
          <w:bCs/>
          <w:sz w:val="24"/>
          <w:lang w:eastAsia="zh-CN"/>
        </w:rPr>
        <w:t>费率</w:t>
      </w:r>
      <w:r>
        <w:rPr>
          <w:rFonts w:hint="eastAsia"/>
          <w:bCs/>
          <w:sz w:val="24"/>
          <w:lang w:eastAsia="zh-CN"/>
        </w:rPr>
        <w:t>或基金赎回费率并另行公告</w:t>
      </w:r>
      <w:r>
        <w:rPr>
          <w:bCs/>
          <w:sz w:val="24"/>
          <w:lang w:eastAsia="zh-CN"/>
        </w:rPr>
        <w:t>，或针对特定渠道、特定投资群体开展有差别的费率优惠活动。</w:t>
      </w:r>
    </w:p>
    <w:p w14:paraId="2511714B">
      <w:pPr>
        <w:spacing w:line="360" w:lineRule="auto"/>
        <w:ind w:firstLine="480" w:firstLineChars="200"/>
        <w:jc w:val="both"/>
        <w:rPr>
          <w:bCs/>
          <w:sz w:val="24"/>
          <w:lang w:eastAsia="zh-CN"/>
        </w:rPr>
      </w:pPr>
      <w:r>
        <w:rPr>
          <w:rFonts w:hint="eastAsia"/>
          <w:bCs/>
          <w:sz w:val="24"/>
          <w:lang w:eastAsia="zh-CN"/>
        </w:rPr>
        <w:t>5</w:t>
      </w:r>
      <w:r>
        <w:rPr>
          <w:bCs/>
          <w:sz w:val="24"/>
          <w:lang w:eastAsia="zh-CN"/>
        </w:rPr>
        <w:t>、当本基金发生大额申购或赎回情形时，基金管理人可以采用摆动定价机制，以确保基金估值的公平性。具体处理原则与操作规范遵循相关法律法规以及监管部门、自律规则的规定。</w:t>
      </w:r>
    </w:p>
    <w:p w14:paraId="537A2C1B">
      <w:pPr>
        <w:spacing w:line="360" w:lineRule="auto"/>
        <w:ind w:firstLine="480" w:firstLineChars="200"/>
        <w:jc w:val="both"/>
        <w:rPr>
          <w:bCs/>
          <w:sz w:val="24"/>
          <w:lang w:eastAsia="zh-CN"/>
        </w:rPr>
      </w:pPr>
      <w:r>
        <w:rPr>
          <w:bCs/>
          <w:sz w:val="24"/>
          <w:lang w:eastAsia="zh-CN"/>
        </w:rPr>
        <w:t>八</w:t>
      </w:r>
      <w:r>
        <w:rPr>
          <w:rFonts w:hint="eastAsia"/>
          <w:bCs/>
          <w:sz w:val="24"/>
          <w:lang w:eastAsia="zh-CN"/>
        </w:rPr>
        <w:t>、</w:t>
      </w:r>
      <w:r>
        <w:rPr>
          <w:bCs/>
          <w:sz w:val="24"/>
          <w:lang w:eastAsia="zh-CN"/>
        </w:rPr>
        <w:t>申购和赎回的数额和价格</w:t>
      </w:r>
    </w:p>
    <w:p w14:paraId="70BF1241">
      <w:pPr>
        <w:spacing w:line="360" w:lineRule="auto"/>
        <w:ind w:firstLine="480" w:firstLineChars="200"/>
        <w:jc w:val="both"/>
        <w:rPr>
          <w:bCs/>
          <w:sz w:val="24"/>
          <w:lang w:eastAsia="zh-CN"/>
        </w:rPr>
      </w:pPr>
      <w:r>
        <w:rPr>
          <w:bCs/>
          <w:sz w:val="24"/>
          <w:lang w:eastAsia="zh-CN"/>
        </w:rPr>
        <w:t>1、申购和赎回数额、余额的处理方式</w:t>
      </w:r>
    </w:p>
    <w:p w14:paraId="27A8F5CD">
      <w:pPr>
        <w:spacing w:line="360" w:lineRule="auto"/>
        <w:ind w:firstLine="480" w:firstLineChars="200"/>
        <w:jc w:val="both"/>
        <w:rPr>
          <w:bCs/>
          <w:sz w:val="24"/>
          <w:lang w:eastAsia="zh-CN"/>
        </w:rPr>
      </w:pPr>
      <w:r>
        <w:rPr>
          <w:bCs/>
          <w:sz w:val="24"/>
          <w:lang w:eastAsia="zh-CN"/>
        </w:rPr>
        <w:t>申购的有效份额为净申购金额除以当日的基金份额净值，有效份额单位为份，上述计算结果均按四舍五入方法，保留到小数点后2位，由此产生的收益或损失由基金财产承担。</w:t>
      </w:r>
    </w:p>
    <w:p w14:paraId="0E0CA2A9">
      <w:pPr>
        <w:spacing w:line="360" w:lineRule="auto"/>
        <w:ind w:firstLine="480" w:firstLineChars="200"/>
        <w:jc w:val="both"/>
        <w:rPr>
          <w:bCs/>
          <w:sz w:val="24"/>
          <w:lang w:eastAsia="zh-CN"/>
        </w:rPr>
      </w:pPr>
      <w:bookmarkStart w:id="40" w:name="_Hlk115339804"/>
      <w:r>
        <w:rPr>
          <w:bCs/>
          <w:sz w:val="24"/>
          <w:lang w:eastAsia="zh-CN"/>
        </w:rPr>
        <w:t>赎回金额为按实际确认的有效赎回份额乘以当日基金份额净值并扣除相应的费用，赎回金额单位为元。上述计算结果均按四舍五入方法，保留到小数点后2位，由此产生的收益或损失由基金财产承担。</w:t>
      </w:r>
    </w:p>
    <w:bookmarkEnd w:id="40"/>
    <w:p w14:paraId="30A18A1E">
      <w:pPr>
        <w:spacing w:line="360" w:lineRule="auto"/>
        <w:ind w:firstLine="480" w:firstLineChars="200"/>
        <w:jc w:val="both"/>
        <w:rPr>
          <w:bCs/>
          <w:sz w:val="24"/>
          <w:lang w:eastAsia="zh-CN"/>
        </w:rPr>
      </w:pPr>
      <w:r>
        <w:rPr>
          <w:bCs/>
          <w:sz w:val="24"/>
          <w:lang w:eastAsia="zh-CN"/>
        </w:rPr>
        <w:t>2、申购份额的计算</w:t>
      </w:r>
    </w:p>
    <w:p w14:paraId="29596F10">
      <w:pPr>
        <w:spacing w:line="360" w:lineRule="auto"/>
        <w:ind w:firstLine="480" w:firstLineChars="200"/>
        <w:jc w:val="both"/>
        <w:rPr>
          <w:bCs/>
          <w:sz w:val="24"/>
          <w:lang w:eastAsia="zh-CN"/>
        </w:rPr>
      </w:pPr>
      <w:r>
        <w:rPr>
          <w:bCs/>
          <w:sz w:val="24"/>
          <w:lang w:eastAsia="zh-CN"/>
        </w:rPr>
        <w:t>净申购金额=申购金额/（1+申购费率）</w:t>
      </w:r>
    </w:p>
    <w:p w14:paraId="095E2A3D">
      <w:pPr>
        <w:spacing w:line="360" w:lineRule="auto"/>
        <w:ind w:firstLine="480" w:firstLineChars="200"/>
        <w:jc w:val="both"/>
        <w:rPr>
          <w:bCs/>
          <w:sz w:val="24"/>
          <w:lang w:eastAsia="zh-CN"/>
        </w:rPr>
      </w:pPr>
      <w:r>
        <w:rPr>
          <w:bCs/>
          <w:sz w:val="24"/>
          <w:lang w:eastAsia="zh-CN"/>
        </w:rPr>
        <w:t>（注：对于500万（含）以上适用固定金额申购费的申购，净申购金额＝申购金额－固定申购费金额）</w:t>
      </w:r>
    </w:p>
    <w:p w14:paraId="478B6C3E">
      <w:pPr>
        <w:spacing w:line="360" w:lineRule="auto"/>
        <w:ind w:firstLine="480" w:firstLineChars="200"/>
        <w:jc w:val="both"/>
        <w:rPr>
          <w:bCs/>
          <w:sz w:val="24"/>
          <w:lang w:eastAsia="zh-CN"/>
        </w:rPr>
      </w:pPr>
      <w:r>
        <w:rPr>
          <w:bCs/>
          <w:sz w:val="24"/>
          <w:lang w:eastAsia="zh-CN"/>
        </w:rPr>
        <w:t>申购费用=申购金额-净申购金额</w:t>
      </w:r>
    </w:p>
    <w:p w14:paraId="2F026835">
      <w:pPr>
        <w:spacing w:line="360" w:lineRule="auto"/>
        <w:ind w:firstLine="480" w:firstLineChars="200"/>
        <w:jc w:val="both"/>
        <w:rPr>
          <w:bCs/>
          <w:sz w:val="24"/>
          <w:lang w:eastAsia="zh-CN"/>
        </w:rPr>
      </w:pPr>
      <w:r>
        <w:rPr>
          <w:bCs/>
          <w:sz w:val="24"/>
          <w:lang w:eastAsia="zh-CN"/>
        </w:rPr>
        <w:t>（注：对于500万（含）以上适用固定金额申购费的申购，申购费用=固定申购费金额）</w:t>
      </w:r>
    </w:p>
    <w:p w14:paraId="2022B5EF">
      <w:pPr>
        <w:spacing w:line="360" w:lineRule="auto"/>
        <w:ind w:firstLine="480" w:firstLineChars="200"/>
        <w:jc w:val="both"/>
        <w:rPr>
          <w:bCs/>
          <w:sz w:val="24"/>
          <w:lang w:eastAsia="zh-CN"/>
        </w:rPr>
      </w:pPr>
      <w:r>
        <w:rPr>
          <w:bCs/>
          <w:sz w:val="24"/>
          <w:lang w:eastAsia="zh-CN"/>
        </w:rPr>
        <w:t>申购份额=净申购金额/T日基金份额净值</w:t>
      </w:r>
    </w:p>
    <w:p w14:paraId="7FBE0768">
      <w:pPr>
        <w:spacing w:line="360" w:lineRule="auto"/>
        <w:ind w:firstLine="480" w:firstLineChars="200"/>
        <w:jc w:val="both"/>
        <w:rPr>
          <w:bCs/>
          <w:sz w:val="24"/>
          <w:lang w:eastAsia="zh-CN"/>
        </w:rPr>
      </w:pPr>
      <w:r>
        <w:rPr>
          <w:bCs/>
          <w:sz w:val="24"/>
          <w:lang w:eastAsia="zh-CN"/>
        </w:rPr>
        <w:t>例：某投资者投资</w:t>
      </w:r>
      <w:r>
        <w:rPr>
          <w:rFonts w:hint="eastAsia"/>
          <w:bCs/>
          <w:sz w:val="24"/>
          <w:lang w:eastAsia="zh-CN"/>
        </w:rPr>
        <w:t>1</w:t>
      </w:r>
      <w:r>
        <w:rPr>
          <w:bCs/>
          <w:sz w:val="24"/>
          <w:lang w:eastAsia="zh-CN"/>
        </w:rPr>
        <w:t>00,000元申购本基金，申购费率为</w:t>
      </w:r>
      <w:r>
        <w:rPr>
          <w:rFonts w:ascii="仿宋_GB2312" w:hAnsi="Calibri" w:eastAsia="仿宋_GB2312"/>
          <w:sz w:val="24"/>
          <w:szCs w:val="24"/>
          <w:lang w:eastAsia="zh-CN"/>
        </w:rPr>
        <w:t>0.</w:t>
      </w:r>
      <w:r>
        <w:rPr>
          <w:rFonts w:hint="eastAsia" w:ascii="仿宋_GB2312" w:hAnsi="Calibri" w:eastAsia="仿宋_GB2312"/>
          <w:sz w:val="24"/>
          <w:szCs w:val="24"/>
          <w:lang w:eastAsia="zh-CN"/>
        </w:rPr>
        <w:t>8</w:t>
      </w:r>
      <w:r>
        <w:rPr>
          <w:rFonts w:ascii="仿宋_GB2312" w:hAnsi="Calibri" w:eastAsia="仿宋_GB2312"/>
          <w:sz w:val="24"/>
          <w:szCs w:val="24"/>
          <w:lang w:eastAsia="zh-CN"/>
        </w:rPr>
        <w:t>0</w:t>
      </w:r>
      <w:r>
        <w:rPr>
          <w:bCs/>
          <w:sz w:val="24"/>
          <w:lang w:eastAsia="zh-CN"/>
        </w:rPr>
        <w:t>%，假设申购当日基金份额净值为1.0400元，则其可得到的基金份额申购份额为：</w:t>
      </w:r>
    </w:p>
    <w:p w14:paraId="0A654BDA">
      <w:pPr>
        <w:spacing w:line="360" w:lineRule="auto"/>
        <w:ind w:firstLine="480" w:firstLineChars="200"/>
        <w:jc w:val="both"/>
        <w:rPr>
          <w:bCs/>
          <w:sz w:val="24"/>
          <w:lang w:eastAsia="zh-CN"/>
        </w:rPr>
      </w:pPr>
      <w:r>
        <w:rPr>
          <w:bCs/>
          <w:sz w:val="24"/>
          <w:lang w:eastAsia="zh-CN"/>
        </w:rPr>
        <w:t>净申购金额=100,000/（1+</w:t>
      </w:r>
      <w:r>
        <w:rPr>
          <w:rFonts w:ascii="仿宋_GB2312" w:hAnsi="Calibri" w:eastAsia="仿宋_GB2312"/>
          <w:sz w:val="24"/>
          <w:szCs w:val="24"/>
          <w:lang w:eastAsia="zh-CN"/>
        </w:rPr>
        <w:t>0.</w:t>
      </w:r>
      <w:r>
        <w:rPr>
          <w:rFonts w:hint="eastAsia" w:ascii="仿宋_GB2312" w:hAnsi="Calibri" w:eastAsia="仿宋_GB2312"/>
          <w:sz w:val="24"/>
          <w:szCs w:val="24"/>
          <w:lang w:eastAsia="zh-CN"/>
        </w:rPr>
        <w:t>8</w:t>
      </w:r>
      <w:r>
        <w:rPr>
          <w:rFonts w:ascii="仿宋_GB2312" w:hAnsi="Calibri" w:eastAsia="仿宋_GB2312"/>
          <w:sz w:val="24"/>
          <w:szCs w:val="24"/>
          <w:lang w:eastAsia="zh-CN"/>
        </w:rPr>
        <w:t>0</w:t>
      </w:r>
      <w:r>
        <w:rPr>
          <w:bCs/>
          <w:sz w:val="24"/>
          <w:lang w:eastAsia="zh-CN"/>
        </w:rPr>
        <w:t>%）=99</w:t>
      </w:r>
      <w:r>
        <w:rPr>
          <w:rFonts w:hint="eastAsia"/>
          <w:bCs/>
          <w:sz w:val="24"/>
          <w:lang w:eastAsia="zh-CN"/>
        </w:rPr>
        <w:t>,206.35</w:t>
      </w:r>
      <w:r>
        <w:rPr>
          <w:bCs/>
          <w:sz w:val="24"/>
          <w:lang w:eastAsia="zh-CN"/>
        </w:rPr>
        <w:t>元</w:t>
      </w:r>
    </w:p>
    <w:p w14:paraId="2D2FC9C3">
      <w:pPr>
        <w:spacing w:line="360" w:lineRule="auto"/>
        <w:ind w:firstLine="480" w:firstLineChars="200"/>
        <w:jc w:val="both"/>
        <w:rPr>
          <w:bCs/>
          <w:sz w:val="24"/>
          <w:lang w:eastAsia="zh-CN"/>
        </w:rPr>
      </w:pPr>
      <w:r>
        <w:rPr>
          <w:bCs/>
          <w:sz w:val="24"/>
          <w:lang w:eastAsia="zh-CN"/>
        </w:rPr>
        <w:t>申购费用=100,000-99</w:t>
      </w:r>
      <w:r>
        <w:rPr>
          <w:rFonts w:hint="eastAsia"/>
          <w:bCs/>
          <w:sz w:val="24"/>
          <w:lang w:eastAsia="zh-CN"/>
        </w:rPr>
        <w:t>,206.35</w:t>
      </w:r>
      <w:r>
        <w:rPr>
          <w:bCs/>
          <w:sz w:val="24"/>
          <w:lang w:eastAsia="zh-CN"/>
        </w:rPr>
        <w:t>=</w:t>
      </w:r>
      <w:r>
        <w:rPr>
          <w:rFonts w:hint="eastAsia"/>
          <w:bCs/>
          <w:sz w:val="24"/>
          <w:lang w:eastAsia="zh-CN"/>
        </w:rPr>
        <w:t>793.65</w:t>
      </w:r>
      <w:r>
        <w:rPr>
          <w:bCs/>
          <w:sz w:val="24"/>
          <w:lang w:eastAsia="zh-CN"/>
        </w:rPr>
        <w:t>元</w:t>
      </w:r>
    </w:p>
    <w:p w14:paraId="7D92A5B2">
      <w:pPr>
        <w:spacing w:line="360" w:lineRule="auto"/>
        <w:ind w:firstLine="480" w:firstLineChars="200"/>
        <w:jc w:val="both"/>
        <w:rPr>
          <w:bCs/>
          <w:sz w:val="24"/>
          <w:lang w:eastAsia="zh-CN"/>
        </w:rPr>
      </w:pPr>
      <w:r>
        <w:rPr>
          <w:bCs/>
          <w:sz w:val="24"/>
          <w:lang w:eastAsia="zh-CN"/>
        </w:rPr>
        <w:t>申购份额=99</w:t>
      </w:r>
      <w:r>
        <w:rPr>
          <w:rFonts w:hint="eastAsia"/>
          <w:bCs/>
          <w:sz w:val="24"/>
          <w:lang w:eastAsia="zh-CN"/>
        </w:rPr>
        <w:t>,206.35</w:t>
      </w:r>
      <w:r>
        <w:rPr>
          <w:bCs/>
          <w:sz w:val="24"/>
          <w:lang w:eastAsia="zh-CN"/>
        </w:rPr>
        <w:t>/1.0400=95,</w:t>
      </w:r>
      <w:r>
        <w:rPr>
          <w:rFonts w:hint="eastAsia"/>
          <w:bCs/>
          <w:sz w:val="24"/>
          <w:lang w:eastAsia="zh-CN"/>
        </w:rPr>
        <w:t>390</w:t>
      </w:r>
      <w:r>
        <w:rPr>
          <w:bCs/>
          <w:sz w:val="24"/>
          <w:lang w:eastAsia="zh-CN"/>
        </w:rPr>
        <w:t>.7</w:t>
      </w:r>
      <w:r>
        <w:rPr>
          <w:rFonts w:hint="eastAsia"/>
          <w:bCs/>
          <w:sz w:val="24"/>
          <w:lang w:eastAsia="zh-CN"/>
        </w:rPr>
        <w:t>2</w:t>
      </w:r>
      <w:r>
        <w:rPr>
          <w:bCs/>
          <w:sz w:val="24"/>
          <w:lang w:eastAsia="zh-CN"/>
        </w:rPr>
        <w:t>份</w:t>
      </w:r>
    </w:p>
    <w:p w14:paraId="0165F7E8">
      <w:pPr>
        <w:spacing w:line="360" w:lineRule="auto"/>
        <w:ind w:firstLine="480" w:firstLineChars="200"/>
        <w:jc w:val="both"/>
        <w:rPr>
          <w:bCs/>
          <w:sz w:val="24"/>
          <w:lang w:eastAsia="zh-CN"/>
        </w:rPr>
      </w:pPr>
      <w:r>
        <w:rPr>
          <w:bCs/>
          <w:sz w:val="24"/>
          <w:lang w:eastAsia="zh-CN"/>
        </w:rPr>
        <w:t>即：该投资者投资100,000元申购本基金，假设申购当日基金份额净值是1.0</w:t>
      </w:r>
      <w:r>
        <w:rPr>
          <w:rFonts w:hint="eastAsia"/>
          <w:bCs/>
          <w:sz w:val="24"/>
          <w:lang w:eastAsia="zh-CN"/>
        </w:rPr>
        <w:t>40</w:t>
      </w:r>
      <w:r>
        <w:rPr>
          <w:bCs/>
          <w:sz w:val="24"/>
          <w:lang w:eastAsia="zh-CN"/>
        </w:rPr>
        <w:t>0元，可得到95,</w:t>
      </w:r>
      <w:r>
        <w:rPr>
          <w:rFonts w:hint="eastAsia"/>
          <w:bCs/>
          <w:sz w:val="24"/>
          <w:lang w:eastAsia="zh-CN"/>
        </w:rPr>
        <w:t>390</w:t>
      </w:r>
      <w:r>
        <w:rPr>
          <w:bCs/>
          <w:sz w:val="24"/>
          <w:lang w:eastAsia="zh-CN"/>
        </w:rPr>
        <w:t>.7</w:t>
      </w:r>
      <w:r>
        <w:rPr>
          <w:rFonts w:hint="eastAsia"/>
          <w:bCs/>
          <w:sz w:val="24"/>
          <w:lang w:eastAsia="zh-CN"/>
        </w:rPr>
        <w:t>2</w:t>
      </w:r>
      <w:r>
        <w:rPr>
          <w:bCs/>
          <w:sz w:val="24"/>
          <w:lang w:eastAsia="zh-CN"/>
        </w:rPr>
        <w:t>份基金份额。</w:t>
      </w:r>
    </w:p>
    <w:p w14:paraId="0A2A58BF">
      <w:pPr>
        <w:spacing w:line="360" w:lineRule="auto"/>
        <w:ind w:firstLine="480" w:firstLineChars="200"/>
        <w:jc w:val="both"/>
        <w:rPr>
          <w:bCs/>
          <w:sz w:val="24"/>
          <w:lang w:eastAsia="zh-CN"/>
        </w:rPr>
      </w:pPr>
      <w:r>
        <w:rPr>
          <w:bCs/>
          <w:sz w:val="24"/>
          <w:lang w:eastAsia="zh-CN"/>
        </w:rPr>
        <w:t>3、赎回金额的计算</w:t>
      </w:r>
    </w:p>
    <w:p w14:paraId="7F510371">
      <w:pPr>
        <w:spacing w:line="360" w:lineRule="auto"/>
        <w:ind w:left="480" w:firstLine="200"/>
        <w:jc w:val="both"/>
        <w:rPr>
          <w:bCs/>
          <w:sz w:val="24"/>
          <w:lang w:eastAsia="zh-CN"/>
        </w:rPr>
      </w:pPr>
      <w:r>
        <w:rPr>
          <w:bCs/>
          <w:sz w:val="24"/>
          <w:lang w:eastAsia="zh-CN"/>
        </w:rPr>
        <w:t>赎回</w:t>
      </w:r>
      <w:r>
        <w:rPr>
          <w:rFonts w:hint="eastAsia"/>
          <w:bCs/>
          <w:sz w:val="24"/>
          <w:lang w:eastAsia="zh-CN"/>
        </w:rPr>
        <w:t>总金额</w:t>
      </w:r>
      <w:r>
        <w:rPr>
          <w:bCs/>
          <w:sz w:val="24"/>
          <w:lang w:eastAsia="zh-CN"/>
        </w:rPr>
        <w:t>=赎回份额×T日基金份额净值</w:t>
      </w:r>
    </w:p>
    <w:p w14:paraId="42BF7A2B">
      <w:pPr>
        <w:spacing w:line="360" w:lineRule="auto"/>
        <w:ind w:left="480" w:firstLine="200"/>
        <w:jc w:val="both"/>
        <w:rPr>
          <w:bCs/>
          <w:sz w:val="24"/>
          <w:lang w:eastAsia="zh-CN"/>
        </w:rPr>
      </w:pPr>
      <w:r>
        <w:rPr>
          <w:rFonts w:hint="eastAsia"/>
          <w:bCs/>
          <w:sz w:val="24"/>
          <w:lang w:eastAsia="zh-CN"/>
        </w:rPr>
        <w:t>赎回费用=赎回总金额</w:t>
      </w:r>
      <w:r>
        <w:rPr>
          <w:bCs/>
          <w:sz w:val="24"/>
          <w:lang w:eastAsia="zh-CN"/>
        </w:rPr>
        <w:t>×赎回费率</w:t>
      </w:r>
    </w:p>
    <w:p w14:paraId="0D72CF02">
      <w:pPr>
        <w:spacing w:line="360" w:lineRule="auto"/>
        <w:ind w:left="480" w:firstLine="200"/>
        <w:jc w:val="both"/>
        <w:rPr>
          <w:bCs/>
          <w:sz w:val="24"/>
          <w:lang w:eastAsia="zh-CN"/>
        </w:rPr>
      </w:pPr>
      <w:r>
        <w:rPr>
          <w:rFonts w:hint="eastAsia"/>
          <w:bCs/>
          <w:sz w:val="24"/>
          <w:lang w:eastAsia="zh-CN"/>
        </w:rPr>
        <w:t>净</w:t>
      </w:r>
      <w:r>
        <w:rPr>
          <w:bCs/>
          <w:sz w:val="24"/>
          <w:lang w:eastAsia="zh-CN"/>
        </w:rPr>
        <w:t>赎回金额=赎回总金额-赎回费用</w:t>
      </w:r>
    </w:p>
    <w:p w14:paraId="293BB87A">
      <w:pPr>
        <w:spacing w:line="360" w:lineRule="auto"/>
        <w:ind w:left="480" w:firstLine="200"/>
        <w:jc w:val="both"/>
        <w:rPr>
          <w:bCs/>
          <w:sz w:val="24"/>
          <w:lang w:eastAsia="zh-CN"/>
        </w:rPr>
      </w:pPr>
      <w:r>
        <w:rPr>
          <w:rFonts w:hint="eastAsia"/>
          <w:bCs/>
          <w:sz w:val="24"/>
          <w:lang w:eastAsia="zh-CN"/>
        </w:rPr>
        <w:t>例：某投资者赎回本基金10,000份基金份额，</w:t>
      </w:r>
      <w:r>
        <w:rPr>
          <w:bCs/>
          <w:sz w:val="24"/>
          <w:lang w:eastAsia="zh-CN"/>
        </w:rPr>
        <w:t>持有时间为</w:t>
      </w:r>
      <w:r>
        <w:rPr>
          <w:rFonts w:hint="eastAsia"/>
          <w:bCs/>
          <w:sz w:val="24"/>
          <w:lang w:eastAsia="zh-CN"/>
        </w:rPr>
        <w:t>5</w:t>
      </w:r>
      <w:r>
        <w:rPr>
          <w:bCs/>
          <w:sz w:val="24"/>
          <w:lang w:eastAsia="zh-CN"/>
        </w:rPr>
        <w:t>天</w:t>
      </w:r>
      <w:r>
        <w:rPr>
          <w:rFonts w:hint="eastAsia"/>
          <w:bCs/>
          <w:sz w:val="24"/>
          <w:lang w:eastAsia="zh-CN"/>
        </w:rPr>
        <w:t>，赎回适用费率为1.50%，假设赎回当日基金份额净值为1.1480元，则其可得净赎回金额为：</w:t>
      </w:r>
    </w:p>
    <w:p w14:paraId="2F4145E8">
      <w:pPr>
        <w:spacing w:line="360" w:lineRule="auto"/>
        <w:ind w:left="480" w:firstLine="200"/>
        <w:jc w:val="both"/>
        <w:rPr>
          <w:bCs/>
          <w:sz w:val="24"/>
          <w:lang w:eastAsia="zh-CN"/>
        </w:rPr>
      </w:pPr>
      <w:r>
        <w:rPr>
          <w:rFonts w:hint="eastAsia"/>
          <w:bCs/>
          <w:sz w:val="24"/>
          <w:lang w:eastAsia="zh-CN"/>
        </w:rPr>
        <w:t>赎回总金额＝10,000×1.1480＝11,480</w:t>
      </w:r>
      <w:r>
        <w:rPr>
          <w:bCs/>
          <w:sz w:val="24"/>
          <w:lang w:eastAsia="zh-CN"/>
        </w:rPr>
        <w:t>.00</w:t>
      </w:r>
      <w:r>
        <w:rPr>
          <w:rFonts w:hint="eastAsia"/>
          <w:bCs/>
          <w:sz w:val="24"/>
          <w:lang w:eastAsia="zh-CN"/>
        </w:rPr>
        <w:t>元</w:t>
      </w:r>
    </w:p>
    <w:p w14:paraId="44ECC1B3">
      <w:pPr>
        <w:spacing w:line="360" w:lineRule="auto"/>
        <w:ind w:left="480" w:firstLine="200"/>
        <w:jc w:val="both"/>
        <w:rPr>
          <w:bCs/>
          <w:sz w:val="24"/>
          <w:lang w:eastAsia="zh-CN"/>
        </w:rPr>
      </w:pPr>
      <w:r>
        <w:rPr>
          <w:rFonts w:hint="eastAsia"/>
          <w:bCs/>
          <w:sz w:val="24"/>
          <w:lang w:eastAsia="zh-CN"/>
        </w:rPr>
        <w:t>赎回费用＝11,480</w:t>
      </w:r>
      <w:r>
        <w:rPr>
          <w:bCs/>
          <w:sz w:val="24"/>
          <w:lang w:eastAsia="zh-CN"/>
        </w:rPr>
        <w:t>.00</w:t>
      </w:r>
      <w:r>
        <w:rPr>
          <w:rFonts w:hint="eastAsia"/>
          <w:bCs/>
          <w:sz w:val="24"/>
          <w:lang w:eastAsia="zh-CN"/>
        </w:rPr>
        <w:t>×1.50%＝172.2</w:t>
      </w:r>
      <w:r>
        <w:rPr>
          <w:bCs/>
          <w:sz w:val="24"/>
          <w:lang w:eastAsia="zh-CN"/>
        </w:rPr>
        <w:t>0</w:t>
      </w:r>
      <w:r>
        <w:rPr>
          <w:rFonts w:hint="eastAsia"/>
          <w:bCs/>
          <w:sz w:val="24"/>
          <w:lang w:eastAsia="zh-CN"/>
        </w:rPr>
        <w:t>元</w:t>
      </w:r>
    </w:p>
    <w:p w14:paraId="56CC99FE">
      <w:pPr>
        <w:spacing w:line="360" w:lineRule="auto"/>
        <w:ind w:left="480" w:firstLine="200"/>
        <w:jc w:val="both"/>
        <w:rPr>
          <w:bCs/>
          <w:sz w:val="24"/>
          <w:lang w:eastAsia="zh-CN"/>
        </w:rPr>
      </w:pPr>
      <w:r>
        <w:rPr>
          <w:rFonts w:hint="eastAsia"/>
          <w:bCs/>
          <w:sz w:val="24"/>
          <w:lang w:eastAsia="zh-CN"/>
        </w:rPr>
        <w:t>净赎回金额＝11,480</w:t>
      </w:r>
      <w:r>
        <w:rPr>
          <w:bCs/>
          <w:sz w:val="24"/>
          <w:lang w:eastAsia="zh-CN"/>
        </w:rPr>
        <w:t>.00</w:t>
      </w:r>
      <w:r>
        <w:rPr>
          <w:rFonts w:hint="eastAsia"/>
          <w:bCs/>
          <w:sz w:val="24"/>
          <w:lang w:eastAsia="zh-CN"/>
        </w:rPr>
        <w:t>－172.2</w:t>
      </w:r>
      <w:r>
        <w:rPr>
          <w:bCs/>
          <w:sz w:val="24"/>
          <w:lang w:eastAsia="zh-CN"/>
        </w:rPr>
        <w:t>0</w:t>
      </w:r>
      <w:r>
        <w:rPr>
          <w:rFonts w:hint="eastAsia"/>
          <w:bCs/>
          <w:sz w:val="24"/>
          <w:lang w:eastAsia="zh-CN"/>
        </w:rPr>
        <w:t>＝11,307.8</w:t>
      </w:r>
      <w:r>
        <w:rPr>
          <w:bCs/>
          <w:sz w:val="24"/>
          <w:lang w:eastAsia="zh-CN"/>
        </w:rPr>
        <w:t>0</w:t>
      </w:r>
      <w:r>
        <w:rPr>
          <w:rFonts w:hint="eastAsia"/>
          <w:bCs/>
          <w:sz w:val="24"/>
          <w:lang w:eastAsia="zh-CN"/>
        </w:rPr>
        <w:t>元</w:t>
      </w:r>
    </w:p>
    <w:p w14:paraId="440AF983">
      <w:pPr>
        <w:spacing w:line="360" w:lineRule="auto"/>
        <w:ind w:left="480" w:firstLine="200"/>
        <w:jc w:val="both"/>
        <w:rPr>
          <w:bCs/>
          <w:sz w:val="24"/>
          <w:lang w:eastAsia="zh-CN"/>
        </w:rPr>
      </w:pPr>
      <w:r>
        <w:rPr>
          <w:rFonts w:hint="eastAsia"/>
          <w:bCs/>
          <w:sz w:val="24"/>
          <w:lang w:eastAsia="zh-CN"/>
        </w:rPr>
        <w:t>即：投资者赎回本基金10,000份基金份额，</w:t>
      </w:r>
      <w:r>
        <w:rPr>
          <w:bCs/>
          <w:sz w:val="24"/>
          <w:lang w:eastAsia="zh-CN"/>
        </w:rPr>
        <w:t>持有时间为</w:t>
      </w:r>
      <w:r>
        <w:rPr>
          <w:rFonts w:hint="eastAsia"/>
          <w:bCs/>
          <w:sz w:val="24"/>
          <w:lang w:eastAsia="zh-CN"/>
        </w:rPr>
        <w:t>5</w:t>
      </w:r>
      <w:r>
        <w:rPr>
          <w:bCs/>
          <w:sz w:val="24"/>
          <w:lang w:eastAsia="zh-CN"/>
        </w:rPr>
        <w:t>天</w:t>
      </w:r>
      <w:r>
        <w:rPr>
          <w:rFonts w:hint="eastAsia"/>
          <w:bCs/>
          <w:sz w:val="24"/>
          <w:lang w:eastAsia="zh-CN"/>
        </w:rPr>
        <w:t>，赎回适用费率为1.50%，假设赎回当日基金份额净值为1.1480元，则可得到的净赎回金额为11,307.8</w:t>
      </w:r>
      <w:r>
        <w:rPr>
          <w:bCs/>
          <w:sz w:val="24"/>
          <w:lang w:eastAsia="zh-CN"/>
        </w:rPr>
        <w:t>0</w:t>
      </w:r>
      <w:r>
        <w:rPr>
          <w:rFonts w:hint="eastAsia"/>
          <w:bCs/>
          <w:sz w:val="24"/>
          <w:lang w:eastAsia="zh-CN"/>
        </w:rPr>
        <w:t>元。</w:t>
      </w:r>
    </w:p>
    <w:p w14:paraId="57951D1A">
      <w:pPr>
        <w:spacing w:line="360" w:lineRule="auto"/>
        <w:ind w:left="480" w:firstLine="200"/>
        <w:jc w:val="both"/>
        <w:rPr>
          <w:bCs/>
          <w:sz w:val="24"/>
          <w:lang w:eastAsia="zh-CN"/>
        </w:rPr>
      </w:pPr>
      <w:r>
        <w:rPr>
          <w:rFonts w:hint="eastAsia"/>
          <w:bCs/>
          <w:sz w:val="24"/>
          <w:lang w:eastAsia="zh-CN"/>
        </w:rPr>
        <w:t>例：某投资者赎回本基金10,000份基金份额，</w:t>
      </w:r>
      <w:r>
        <w:rPr>
          <w:bCs/>
          <w:sz w:val="24"/>
          <w:lang w:eastAsia="zh-CN"/>
        </w:rPr>
        <w:t>持有时间为</w:t>
      </w:r>
      <w:r>
        <w:rPr>
          <w:rFonts w:hint="eastAsia"/>
          <w:bCs/>
          <w:sz w:val="24"/>
          <w:lang w:eastAsia="zh-CN"/>
        </w:rPr>
        <w:t>40</w:t>
      </w:r>
      <w:r>
        <w:rPr>
          <w:bCs/>
          <w:sz w:val="24"/>
          <w:lang w:eastAsia="zh-CN"/>
        </w:rPr>
        <w:t>天</w:t>
      </w:r>
      <w:r>
        <w:rPr>
          <w:rFonts w:hint="eastAsia"/>
          <w:bCs/>
          <w:sz w:val="24"/>
          <w:lang w:eastAsia="zh-CN"/>
        </w:rPr>
        <w:t>，赎回适用费率为0.00%，假设赎回当日基金份额净值为1.1480元，则其可得净赎回金额为：</w:t>
      </w:r>
    </w:p>
    <w:p w14:paraId="2B02C24E">
      <w:pPr>
        <w:spacing w:line="360" w:lineRule="auto"/>
        <w:ind w:left="480" w:firstLine="200"/>
        <w:jc w:val="both"/>
        <w:rPr>
          <w:bCs/>
          <w:sz w:val="24"/>
          <w:lang w:eastAsia="zh-CN"/>
        </w:rPr>
      </w:pPr>
      <w:r>
        <w:rPr>
          <w:rFonts w:hint="eastAsia"/>
          <w:bCs/>
          <w:sz w:val="24"/>
          <w:lang w:eastAsia="zh-CN"/>
        </w:rPr>
        <w:t>赎回总金额＝10,000×1.1480＝11,480</w:t>
      </w:r>
      <w:r>
        <w:rPr>
          <w:bCs/>
          <w:sz w:val="24"/>
          <w:lang w:eastAsia="zh-CN"/>
        </w:rPr>
        <w:t>.00</w:t>
      </w:r>
      <w:r>
        <w:rPr>
          <w:rFonts w:hint="eastAsia"/>
          <w:bCs/>
          <w:sz w:val="24"/>
          <w:lang w:eastAsia="zh-CN"/>
        </w:rPr>
        <w:t>元</w:t>
      </w:r>
    </w:p>
    <w:p w14:paraId="5D3C68BB">
      <w:pPr>
        <w:spacing w:line="360" w:lineRule="auto"/>
        <w:ind w:left="480" w:firstLine="200"/>
        <w:jc w:val="both"/>
        <w:rPr>
          <w:bCs/>
          <w:sz w:val="24"/>
          <w:lang w:eastAsia="zh-CN"/>
        </w:rPr>
      </w:pPr>
      <w:r>
        <w:rPr>
          <w:rFonts w:hint="eastAsia"/>
          <w:bCs/>
          <w:sz w:val="24"/>
          <w:lang w:eastAsia="zh-CN"/>
        </w:rPr>
        <w:t>赎回费用＝11,480</w:t>
      </w:r>
      <w:r>
        <w:rPr>
          <w:bCs/>
          <w:sz w:val="24"/>
          <w:lang w:eastAsia="zh-CN"/>
        </w:rPr>
        <w:t>.00</w:t>
      </w:r>
      <w:r>
        <w:rPr>
          <w:rFonts w:hint="eastAsia"/>
          <w:bCs/>
          <w:sz w:val="24"/>
          <w:lang w:eastAsia="zh-CN"/>
        </w:rPr>
        <w:t>×0＝0.00元</w:t>
      </w:r>
    </w:p>
    <w:p w14:paraId="63A003D3">
      <w:pPr>
        <w:spacing w:line="360" w:lineRule="auto"/>
        <w:ind w:left="480" w:firstLine="200"/>
        <w:jc w:val="both"/>
        <w:rPr>
          <w:bCs/>
          <w:sz w:val="24"/>
          <w:lang w:eastAsia="zh-CN"/>
        </w:rPr>
      </w:pPr>
      <w:r>
        <w:rPr>
          <w:rFonts w:hint="eastAsia"/>
          <w:bCs/>
          <w:sz w:val="24"/>
          <w:lang w:eastAsia="zh-CN"/>
        </w:rPr>
        <w:t>净赎回金额＝11,480</w:t>
      </w:r>
      <w:r>
        <w:rPr>
          <w:bCs/>
          <w:sz w:val="24"/>
          <w:lang w:eastAsia="zh-CN"/>
        </w:rPr>
        <w:t>.00</w:t>
      </w:r>
      <w:r>
        <w:rPr>
          <w:rFonts w:hint="eastAsia"/>
          <w:bCs/>
          <w:sz w:val="24"/>
          <w:lang w:eastAsia="zh-CN"/>
        </w:rPr>
        <w:t>－0.00＝</w:t>
      </w:r>
      <w:r>
        <w:rPr>
          <w:bCs/>
          <w:sz w:val="24"/>
          <w:lang w:eastAsia="zh-CN"/>
        </w:rPr>
        <w:t>11,480.00</w:t>
      </w:r>
      <w:r>
        <w:rPr>
          <w:rFonts w:hint="eastAsia"/>
          <w:bCs/>
          <w:sz w:val="24"/>
          <w:lang w:eastAsia="zh-CN"/>
        </w:rPr>
        <w:t>元</w:t>
      </w:r>
    </w:p>
    <w:p w14:paraId="75EBED34">
      <w:pPr>
        <w:spacing w:line="360" w:lineRule="auto"/>
        <w:ind w:left="480" w:firstLine="200"/>
        <w:jc w:val="both"/>
        <w:rPr>
          <w:bCs/>
          <w:sz w:val="24"/>
          <w:lang w:eastAsia="zh-CN"/>
        </w:rPr>
      </w:pPr>
      <w:r>
        <w:rPr>
          <w:rFonts w:hint="eastAsia"/>
          <w:bCs/>
          <w:sz w:val="24"/>
          <w:lang w:eastAsia="zh-CN"/>
        </w:rPr>
        <w:t>即：投资者赎回本基金10,000份基金份额，</w:t>
      </w:r>
      <w:r>
        <w:rPr>
          <w:bCs/>
          <w:sz w:val="24"/>
          <w:lang w:eastAsia="zh-CN"/>
        </w:rPr>
        <w:t>持有时间为</w:t>
      </w:r>
      <w:r>
        <w:rPr>
          <w:rFonts w:hint="eastAsia"/>
          <w:bCs/>
          <w:sz w:val="24"/>
          <w:lang w:eastAsia="zh-CN"/>
        </w:rPr>
        <w:t>40</w:t>
      </w:r>
      <w:r>
        <w:rPr>
          <w:bCs/>
          <w:sz w:val="24"/>
          <w:lang w:eastAsia="zh-CN"/>
        </w:rPr>
        <w:t>天</w:t>
      </w:r>
      <w:r>
        <w:rPr>
          <w:rFonts w:hint="eastAsia"/>
          <w:bCs/>
          <w:sz w:val="24"/>
          <w:lang w:eastAsia="zh-CN"/>
        </w:rPr>
        <w:t>，赎回适用费率为0.00%，假设赎回当日基金份额净值为1.1480元，则可得到的净赎回金额为11,480.00元。</w:t>
      </w:r>
    </w:p>
    <w:p w14:paraId="1B4A85B3">
      <w:pPr>
        <w:spacing w:line="360" w:lineRule="auto"/>
        <w:ind w:left="480" w:firstLine="200"/>
        <w:jc w:val="both"/>
        <w:rPr>
          <w:bCs/>
          <w:sz w:val="24"/>
          <w:lang w:eastAsia="zh-CN"/>
        </w:rPr>
      </w:pPr>
      <w:r>
        <w:rPr>
          <w:bCs/>
          <w:sz w:val="24"/>
          <w:lang w:eastAsia="zh-CN"/>
        </w:rPr>
        <w:t>4、基金份额净值的计算公式</w:t>
      </w:r>
    </w:p>
    <w:p w14:paraId="1F2CDC18">
      <w:pPr>
        <w:spacing w:line="360" w:lineRule="auto"/>
        <w:ind w:firstLine="480" w:firstLineChars="200"/>
        <w:jc w:val="both"/>
        <w:rPr>
          <w:bCs/>
          <w:sz w:val="24"/>
          <w:lang w:eastAsia="zh-CN"/>
        </w:rPr>
      </w:pPr>
      <w:r>
        <w:rPr>
          <w:bCs/>
          <w:sz w:val="24"/>
          <w:lang w:eastAsia="zh-CN"/>
        </w:rPr>
        <w:t>计算日基金份额净值=计算日基金资产净值/计算日基金总份额。</w:t>
      </w:r>
    </w:p>
    <w:p w14:paraId="226D93C4">
      <w:pPr>
        <w:spacing w:line="360" w:lineRule="auto"/>
        <w:ind w:firstLine="480" w:firstLineChars="200"/>
        <w:jc w:val="both"/>
        <w:rPr>
          <w:bCs/>
          <w:sz w:val="24"/>
          <w:lang w:eastAsia="zh-CN"/>
        </w:rPr>
      </w:pPr>
      <w:bookmarkStart w:id="41" w:name="_Hlk115339988"/>
      <w:r>
        <w:rPr>
          <w:bCs/>
          <w:sz w:val="24"/>
          <w:lang w:eastAsia="zh-CN"/>
        </w:rPr>
        <w:t>本基金基金份额净值的计算，保留到小数点后4位，小数点后第5位四舍五入，由此产生的收益或损失由基金财产承担。T日的基金份额净值在当天收市后计算，</w:t>
      </w:r>
      <w:r>
        <w:rPr>
          <w:rFonts w:hint="eastAsia"/>
          <w:bCs/>
          <w:sz w:val="24"/>
          <w:lang w:eastAsia="zh-CN"/>
        </w:rPr>
        <w:t>根据基金合同的约定进行</w:t>
      </w:r>
      <w:r>
        <w:rPr>
          <w:bCs/>
          <w:sz w:val="24"/>
          <w:lang w:eastAsia="zh-CN"/>
        </w:rPr>
        <w:t>公告。遇特殊情况，经履行适当程序，可以适当延迟计算或公告</w:t>
      </w:r>
      <w:bookmarkEnd w:id="41"/>
      <w:r>
        <w:rPr>
          <w:bCs/>
          <w:sz w:val="24"/>
          <w:lang w:eastAsia="zh-CN"/>
        </w:rPr>
        <w:t>。</w:t>
      </w:r>
    </w:p>
    <w:p w14:paraId="0BF52283">
      <w:pPr>
        <w:spacing w:line="360" w:lineRule="auto"/>
        <w:ind w:firstLine="480" w:firstLineChars="200"/>
        <w:jc w:val="both"/>
        <w:rPr>
          <w:bCs/>
          <w:sz w:val="24"/>
          <w:lang w:eastAsia="zh-CN"/>
        </w:rPr>
      </w:pPr>
      <w:r>
        <w:rPr>
          <w:bCs/>
          <w:sz w:val="24"/>
          <w:lang w:eastAsia="zh-CN"/>
        </w:rPr>
        <w:t>九</w:t>
      </w:r>
      <w:r>
        <w:rPr>
          <w:rFonts w:hint="eastAsia"/>
          <w:bCs/>
          <w:sz w:val="24"/>
          <w:lang w:eastAsia="zh-CN"/>
        </w:rPr>
        <w:t>、</w:t>
      </w:r>
      <w:r>
        <w:rPr>
          <w:bCs/>
          <w:sz w:val="24"/>
          <w:lang w:eastAsia="zh-CN"/>
        </w:rPr>
        <w:t>申购和赎回的登记</w:t>
      </w:r>
    </w:p>
    <w:p w14:paraId="1B10775D">
      <w:pPr>
        <w:spacing w:line="360" w:lineRule="auto"/>
        <w:ind w:firstLine="480" w:firstLineChars="200"/>
        <w:jc w:val="both"/>
        <w:rPr>
          <w:bCs/>
          <w:sz w:val="24"/>
          <w:lang w:eastAsia="zh-CN"/>
        </w:rPr>
      </w:pPr>
      <w:r>
        <w:rPr>
          <w:bCs/>
          <w:sz w:val="24"/>
          <w:lang w:eastAsia="zh-CN"/>
        </w:rPr>
        <w:t>正常情况下，投资者T日申购基金成功后，登记机构在T+1日为投资者增加权益并办理登记手续，投资者自T+2日起（含该日）有权赎回该部分基金份额。</w:t>
      </w:r>
    </w:p>
    <w:p w14:paraId="7901556F">
      <w:pPr>
        <w:spacing w:line="360" w:lineRule="auto"/>
        <w:ind w:firstLine="480" w:firstLineChars="200"/>
        <w:jc w:val="both"/>
        <w:rPr>
          <w:bCs/>
          <w:sz w:val="24"/>
          <w:lang w:eastAsia="zh-CN"/>
        </w:rPr>
      </w:pPr>
      <w:r>
        <w:rPr>
          <w:bCs/>
          <w:sz w:val="24"/>
          <w:lang w:eastAsia="zh-CN"/>
        </w:rPr>
        <w:t>正常情况下，基金份额持有人T日赎回基金成功后，登记机构在T+1日为其办理扣除权益的登记手续。</w:t>
      </w:r>
    </w:p>
    <w:p w14:paraId="63652A9B">
      <w:pPr>
        <w:spacing w:line="360" w:lineRule="auto"/>
        <w:ind w:firstLine="480" w:firstLineChars="200"/>
        <w:jc w:val="both"/>
        <w:rPr>
          <w:bCs/>
          <w:sz w:val="24"/>
          <w:lang w:eastAsia="zh-CN"/>
        </w:rPr>
      </w:pPr>
      <w:r>
        <w:rPr>
          <w:bCs/>
          <w:sz w:val="24"/>
          <w:lang w:eastAsia="zh-CN"/>
        </w:rPr>
        <w:t>在不违反法律法规的前提下，登记机构可以对上述登记办理时间进行调整，基金管理人应于开始实施前依照《信息披露办法》的有关规定在</w:t>
      </w:r>
      <w:r>
        <w:rPr>
          <w:rFonts w:hint="eastAsia"/>
          <w:bCs/>
          <w:sz w:val="24"/>
          <w:lang w:eastAsia="zh-CN"/>
        </w:rPr>
        <w:t>规</w:t>
      </w:r>
      <w:r>
        <w:rPr>
          <w:bCs/>
          <w:sz w:val="24"/>
          <w:lang w:eastAsia="zh-CN"/>
        </w:rPr>
        <w:t>定媒介上公告。</w:t>
      </w:r>
    </w:p>
    <w:p w14:paraId="27D53FDB">
      <w:pPr>
        <w:spacing w:line="360" w:lineRule="auto"/>
        <w:ind w:firstLine="480" w:firstLineChars="200"/>
        <w:jc w:val="both"/>
        <w:rPr>
          <w:bCs/>
          <w:sz w:val="24"/>
          <w:lang w:eastAsia="zh-CN"/>
        </w:rPr>
      </w:pPr>
      <w:bookmarkStart w:id="42" w:name="_Hlk115340041"/>
      <w:bookmarkStart w:id="43" w:name="_Hlk97497524"/>
      <w:bookmarkStart w:id="44" w:name="_Hlk88079124"/>
      <w:r>
        <w:rPr>
          <w:bCs/>
          <w:sz w:val="24"/>
          <w:lang w:eastAsia="zh-CN"/>
        </w:rPr>
        <w:t>十</w:t>
      </w:r>
      <w:r>
        <w:rPr>
          <w:rFonts w:hint="eastAsia"/>
          <w:bCs/>
          <w:sz w:val="24"/>
          <w:lang w:eastAsia="zh-CN"/>
        </w:rPr>
        <w:t>、</w:t>
      </w:r>
      <w:r>
        <w:rPr>
          <w:bCs/>
          <w:sz w:val="24"/>
          <w:lang w:eastAsia="zh-CN"/>
        </w:rPr>
        <w:t>巨额赎回的</w:t>
      </w:r>
      <w:r>
        <w:rPr>
          <w:rFonts w:hint="eastAsia"/>
          <w:bCs/>
          <w:sz w:val="24"/>
          <w:lang w:eastAsia="zh-CN"/>
        </w:rPr>
        <w:t>情形</w:t>
      </w:r>
      <w:r>
        <w:rPr>
          <w:bCs/>
          <w:sz w:val="24"/>
          <w:lang w:eastAsia="zh-CN"/>
        </w:rPr>
        <w:t>及处理方式</w:t>
      </w:r>
    </w:p>
    <w:p w14:paraId="582CC89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巨额赎回的认定</w:t>
      </w:r>
    </w:p>
    <w:p w14:paraId="01E9870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若本基金</w:t>
      </w:r>
      <w:r>
        <w:rPr>
          <w:rFonts w:hint="eastAsia"/>
          <w:bCs/>
          <w:color w:val="000000" w:themeColor="text1"/>
          <w:sz w:val="24"/>
          <w:lang w:eastAsia="zh-CN"/>
          <w14:textFill>
            <w14:solidFill>
              <w14:schemeClr w14:val="tx1"/>
            </w14:solidFill>
          </w14:textFill>
        </w:rPr>
        <w:t>开放期</w:t>
      </w:r>
      <w:r>
        <w:rPr>
          <w:bCs/>
          <w:color w:val="000000" w:themeColor="text1"/>
          <w:sz w:val="24"/>
          <w:lang w:eastAsia="zh-CN"/>
          <w14:textFill>
            <w14:solidFill>
              <w14:schemeClr w14:val="tx1"/>
            </w14:solidFill>
          </w14:textFill>
        </w:rPr>
        <w:t>单个开放日内的基金份额净赎回申请（赎回申请份额总数加上基金转换中转出申请份额总数后扣除申购申请份额总数及基金转换中转入申请份额总数后的余额）超过前一</w:t>
      </w:r>
      <w:r>
        <w:rPr>
          <w:rFonts w:hint="eastAsia"/>
          <w:bCs/>
          <w:color w:val="000000" w:themeColor="text1"/>
          <w:sz w:val="24"/>
          <w:lang w:eastAsia="zh-CN"/>
          <w14:textFill>
            <w14:solidFill>
              <w14:schemeClr w14:val="tx1"/>
            </w14:solidFill>
          </w14:textFill>
        </w:rPr>
        <w:t>工作</w:t>
      </w:r>
      <w:r>
        <w:rPr>
          <w:bCs/>
          <w:color w:val="000000" w:themeColor="text1"/>
          <w:sz w:val="24"/>
          <w:lang w:eastAsia="zh-CN"/>
          <w14:textFill>
            <w14:solidFill>
              <w14:schemeClr w14:val="tx1"/>
            </w14:solidFill>
          </w14:textFill>
        </w:rPr>
        <w:t>日的基金总份额的20%，即认为是发生了巨额赎回。</w:t>
      </w:r>
    </w:p>
    <w:p w14:paraId="5727928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巨额赎回的处理方式</w:t>
      </w:r>
    </w:p>
    <w:p w14:paraId="46D7959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当基金出现巨额赎回时，基金管理人可以根据基金当时的资产组合状况决定全额赎回或</w:t>
      </w:r>
      <w:r>
        <w:rPr>
          <w:rFonts w:hint="eastAsia"/>
          <w:bCs/>
          <w:color w:val="000000" w:themeColor="text1"/>
          <w:sz w:val="24"/>
          <w:szCs w:val="24"/>
          <w:lang w:eastAsia="zh-CN"/>
          <w14:textFill>
            <w14:solidFill>
              <w14:schemeClr w14:val="tx1"/>
            </w14:solidFill>
          </w14:textFill>
        </w:rPr>
        <w:t>延缓支付</w:t>
      </w:r>
      <w:r>
        <w:rPr>
          <w:bCs/>
          <w:color w:val="000000" w:themeColor="text1"/>
          <w:sz w:val="24"/>
          <w:lang w:eastAsia="zh-CN"/>
          <w14:textFill>
            <w14:solidFill>
              <w14:schemeClr w14:val="tx1"/>
            </w14:solidFill>
          </w14:textFill>
        </w:rPr>
        <w:t>赎回款项。</w:t>
      </w:r>
    </w:p>
    <w:p w14:paraId="5D6D8C9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（1）全额赎回：当基金管理人认为有能力支付投资人的全部赎回申请时，按正常赎回程序执行。</w:t>
      </w:r>
    </w:p>
    <w:p w14:paraId="1DCF5E6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w:t>
      </w:r>
      <w:r>
        <w:rPr>
          <w:rFonts w:hint="eastAsia"/>
          <w:bCs/>
          <w:color w:val="000000" w:themeColor="text1"/>
          <w:sz w:val="24"/>
          <w:szCs w:val="24"/>
          <w:lang w:eastAsia="zh-CN"/>
          <w14:textFill>
            <w14:solidFill>
              <w14:schemeClr w14:val="tx1"/>
            </w14:solidFill>
          </w14:textFill>
        </w:rPr>
        <w:t>延缓支付赎回款项：当</w:t>
      </w:r>
      <w:r>
        <w:rPr>
          <w:rFonts w:hint="eastAsia"/>
          <w:bCs/>
          <w:color w:val="000000" w:themeColor="text1"/>
          <w:sz w:val="24"/>
          <w:lang w:eastAsia="zh-CN"/>
          <w14:textFill>
            <w14:solidFill>
              <w14:schemeClr w14:val="tx1"/>
            </w14:solidFill>
          </w14:textFill>
        </w:rPr>
        <w:t>本基金开放期内单个开放日出现巨额赎回时，基金管理人对符合法律法规及基金合同约定的赎回申请应全部予以接受和确认。但对于已接受的赎回申请，如</w:t>
      </w:r>
      <w:r>
        <w:rPr>
          <w:bCs/>
          <w:color w:val="000000" w:themeColor="text1"/>
          <w:sz w:val="24"/>
          <w:lang w:eastAsia="zh-CN"/>
          <w14:textFill>
            <w14:solidFill>
              <w14:schemeClr w14:val="tx1"/>
            </w14:solidFill>
          </w14:textFill>
        </w:rPr>
        <w:t>基金管理人认为全额支付投资人的赎回</w:t>
      </w:r>
      <w:r>
        <w:rPr>
          <w:rFonts w:hint="eastAsia"/>
          <w:bCs/>
          <w:color w:val="000000" w:themeColor="text1"/>
          <w:sz w:val="24"/>
          <w:lang w:eastAsia="zh-CN"/>
          <w14:textFill>
            <w14:solidFill>
              <w14:schemeClr w14:val="tx1"/>
            </w14:solidFill>
          </w14:textFill>
        </w:rPr>
        <w:t>款项</w:t>
      </w:r>
      <w:r>
        <w:rPr>
          <w:bCs/>
          <w:color w:val="000000" w:themeColor="text1"/>
          <w:sz w:val="24"/>
          <w:lang w:eastAsia="zh-CN"/>
          <w14:textFill>
            <w14:solidFill>
              <w14:schemeClr w14:val="tx1"/>
            </w14:solidFill>
          </w14:textFill>
        </w:rPr>
        <w:t>有困难或因全额支付投资人的赎回</w:t>
      </w:r>
      <w:r>
        <w:rPr>
          <w:rFonts w:hint="eastAsia"/>
          <w:bCs/>
          <w:color w:val="000000" w:themeColor="text1"/>
          <w:sz w:val="24"/>
          <w:lang w:eastAsia="zh-CN"/>
          <w14:textFill>
            <w14:solidFill>
              <w14:schemeClr w14:val="tx1"/>
            </w14:solidFill>
          </w14:textFill>
        </w:rPr>
        <w:t>款项</w:t>
      </w:r>
      <w:r>
        <w:rPr>
          <w:bCs/>
          <w:color w:val="000000" w:themeColor="text1"/>
          <w:sz w:val="24"/>
          <w:lang w:eastAsia="zh-CN"/>
          <w14:textFill>
            <w14:solidFill>
              <w14:schemeClr w14:val="tx1"/>
            </w14:solidFill>
          </w14:textFill>
        </w:rPr>
        <w:t>而进行的财产变现可能会对基金资产净值造成较大波动</w:t>
      </w:r>
      <w:r>
        <w:rPr>
          <w:rFonts w:hint="eastAsia"/>
          <w:bCs/>
          <w:color w:val="000000" w:themeColor="text1"/>
          <w:sz w:val="24"/>
          <w:lang w:eastAsia="zh-CN"/>
          <w14:textFill>
            <w14:solidFill>
              <w14:schemeClr w14:val="tx1"/>
            </w14:solidFill>
          </w14:textFill>
        </w:rPr>
        <w:t>的</w:t>
      </w:r>
      <w:r>
        <w:rPr>
          <w:bCs/>
          <w:color w:val="000000" w:themeColor="text1"/>
          <w:sz w:val="24"/>
          <w:lang w:eastAsia="zh-CN"/>
          <w14:textFill>
            <w14:solidFill>
              <w14:schemeClr w14:val="tx1"/>
            </w14:solidFill>
          </w14:textFill>
        </w:rPr>
        <w:t>，基金管理人在当日</w:t>
      </w:r>
      <w:r>
        <w:rPr>
          <w:rFonts w:hint="eastAsia"/>
          <w:bCs/>
          <w:color w:val="000000" w:themeColor="text1"/>
          <w:sz w:val="24"/>
          <w:lang w:eastAsia="zh-CN"/>
          <w14:textFill>
            <w14:solidFill>
              <w14:schemeClr w14:val="tx1"/>
            </w14:solidFill>
          </w14:textFill>
        </w:rPr>
        <w:t>按</w:t>
      </w:r>
      <w:r>
        <w:rPr>
          <w:bCs/>
          <w:color w:val="000000" w:themeColor="text1"/>
          <w:sz w:val="24"/>
          <w:lang w:eastAsia="zh-CN"/>
          <w14:textFill>
            <w14:solidFill>
              <w14:schemeClr w14:val="tx1"/>
            </w14:solidFill>
          </w14:textFill>
        </w:rPr>
        <w:t>比例</w:t>
      </w:r>
      <w:r>
        <w:rPr>
          <w:rFonts w:hint="eastAsia"/>
          <w:bCs/>
          <w:color w:val="000000" w:themeColor="text1"/>
          <w:sz w:val="24"/>
          <w:lang w:eastAsia="zh-CN"/>
          <w14:textFill>
            <w14:solidFill>
              <w14:schemeClr w14:val="tx1"/>
            </w14:solidFill>
          </w14:textFill>
        </w:rPr>
        <w:t>办理的赎回份额</w:t>
      </w:r>
      <w:r>
        <w:rPr>
          <w:bCs/>
          <w:color w:val="000000" w:themeColor="text1"/>
          <w:sz w:val="24"/>
          <w:lang w:eastAsia="zh-CN"/>
          <w14:textFill>
            <w14:solidFill>
              <w14:schemeClr w14:val="tx1"/>
            </w14:solidFill>
          </w14:textFill>
        </w:rPr>
        <w:t>不低于基金总份额的</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0</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的</w:t>
      </w:r>
      <w:r>
        <w:rPr>
          <w:rFonts w:hint="eastAsia"/>
          <w:bCs/>
          <w:color w:val="000000" w:themeColor="text1"/>
          <w:sz w:val="24"/>
          <w:lang w:eastAsia="zh-CN"/>
          <w14:textFill>
            <w14:solidFill>
              <w14:schemeClr w14:val="tx1"/>
            </w14:solidFill>
          </w14:textFill>
        </w:rPr>
        <w:t>情形</w:t>
      </w:r>
      <w:r>
        <w:rPr>
          <w:bCs/>
          <w:color w:val="000000" w:themeColor="text1"/>
          <w:sz w:val="24"/>
          <w:lang w:eastAsia="zh-CN"/>
          <w14:textFill>
            <w14:solidFill>
              <w14:schemeClr w14:val="tx1"/>
            </w14:solidFill>
          </w14:textFill>
        </w:rPr>
        <w:t>下，可对</w:t>
      </w:r>
      <w:r>
        <w:rPr>
          <w:rFonts w:hint="eastAsia"/>
          <w:bCs/>
          <w:color w:val="000000" w:themeColor="text1"/>
          <w:sz w:val="24"/>
          <w:lang w:eastAsia="zh-CN"/>
          <w14:textFill>
            <w14:solidFill>
              <w14:schemeClr w14:val="tx1"/>
            </w14:solidFill>
          </w14:textFill>
        </w:rPr>
        <w:t>赎回款项进行延缓支付，但不得超过20个工作日。延缓支付的赎回申请以赎回申请当日的基金份额净值为基础计算赎回金额。</w:t>
      </w:r>
    </w:p>
    <w:p w14:paraId="3C923899">
      <w:pPr>
        <w:spacing w:line="360" w:lineRule="auto"/>
        <w:ind w:firstLine="420" w:firstLineChars="17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szCs w:val="24"/>
          <w:lang w:eastAsia="zh-CN"/>
          <w14:textFill>
            <w14:solidFill>
              <w14:schemeClr w14:val="tx1"/>
            </w14:solidFill>
          </w14:textFill>
        </w:rPr>
        <w:t>在开放期内，</w:t>
      </w:r>
      <w:r>
        <w:rPr>
          <w:bCs/>
          <w:color w:val="000000" w:themeColor="text1"/>
          <w:sz w:val="24"/>
          <w:lang w:eastAsia="zh-CN"/>
          <w14:textFill>
            <w14:solidFill>
              <w14:schemeClr w14:val="tx1"/>
            </w14:solidFill>
          </w14:textFill>
        </w:rPr>
        <w:t>如</w:t>
      </w:r>
      <w:r>
        <w:rPr>
          <w:rFonts w:hint="eastAsia"/>
          <w:bCs/>
          <w:color w:val="000000" w:themeColor="text1"/>
          <w:sz w:val="24"/>
          <w:lang w:eastAsia="zh-CN"/>
          <w14:textFill>
            <w14:solidFill>
              <w14:schemeClr w14:val="tx1"/>
            </w14:solidFill>
          </w14:textFill>
        </w:rPr>
        <w:t>本基金发生巨额赎回且</w:t>
      </w:r>
      <w:r>
        <w:rPr>
          <w:bCs/>
          <w:color w:val="000000" w:themeColor="text1"/>
          <w:sz w:val="24"/>
          <w:lang w:eastAsia="zh-CN"/>
          <w14:textFill>
            <w14:solidFill>
              <w14:schemeClr w14:val="tx1"/>
            </w14:solidFill>
          </w14:textFill>
        </w:rPr>
        <w:t>单个基金份额持有人</w:t>
      </w:r>
      <w:r>
        <w:rPr>
          <w:rFonts w:hint="eastAsia"/>
          <w:bCs/>
          <w:color w:val="000000" w:themeColor="text1"/>
          <w:sz w:val="24"/>
          <w:szCs w:val="24"/>
          <w:lang w:eastAsia="zh-CN"/>
          <w14:textFill>
            <w14:solidFill>
              <w14:schemeClr w14:val="tx1"/>
            </w14:solidFill>
          </w14:textFill>
        </w:rPr>
        <w:t>的单日赎回申请</w:t>
      </w:r>
      <w:r>
        <w:rPr>
          <w:bCs/>
          <w:color w:val="000000" w:themeColor="text1"/>
          <w:sz w:val="24"/>
          <w:lang w:eastAsia="zh-CN"/>
          <w14:textFill>
            <w14:solidFill>
              <w14:schemeClr w14:val="tx1"/>
            </w14:solidFill>
          </w14:textFill>
        </w:rPr>
        <w:t>超过</w:t>
      </w:r>
      <w:r>
        <w:rPr>
          <w:rFonts w:hint="eastAsia"/>
          <w:bCs/>
          <w:color w:val="000000" w:themeColor="text1"/>
          <w:sz w:val="24"/>
          <w:szCs w:val="24"/>
          <w:lang w:eastAsia="zh-CN"/>
          <w14:textFill>
            <w14:solidFill>
              <w14:schemeClr w14:val="tx1"/>
            </w14:solidFill>
          </w14:textFill>
        </w:rPr>
        <w:t>上一工作日</w:t>
      </w:r>
      <w:r>
        <w:rPr>
          <w:bCs/>
          <w:color w:val="000000" w:themeColor="text1"/>
          <w:sz w:val="24"/>
          <w:lang w:eastAsia="zh-CN"/>
          <w14:textFill>
            <w14:solidFill>
              <w14:schemeClr w14:val="tx1"/>
            </w14:solidFill>
          </w14:textFill>
        </w:rPr>
        <w:t>基金总份额的20%</w:t>
      </w:r>
      <w:r>
        <w:rPr>
          <w:rFonts w:hint="eastAsia"/>
          <w:bCs/>
          <w:color w:val="000000" w:themeColor="text1"/>
          <w:sz w:val="24"/>
          <w:lang w:eastAsia="zh-CN"/>
          <w14:textFill>
            <w14:solidFill>
              <w14:schemeClr w14:val="tx1"/>
            </w14:solidFill>
          </w14:textFill>
        </w:rPr>
        <w:t>的</w:t>
      </w:r>
      <w:r>
        <w:rPr>
          <w:bCs/>
          <w:color w:val="000000" w:themeColor="text1"/>
          <w:sz w:val="24"/>
          <w:lang w:eastAsia="zh-CN"/>
          <w14:textFill>
            <w14:solidFill>
              <w14:schemeClr w14:val="tx1"/>
            </w14:solidFill>
          </w14:textFill>
        </w:rPr>
        <w:t>，基金管理人</w:t>
      </w:r>
      <w:r>
        <w:rPr>
          <w:rFonts w:hint="eastAsia"/>
          <w:bCs/>
          <w:color w:val="000000" w:themeColor="text1"/>
          <w:sz w:val="24"/>
          <w:szCs w:val="24"/>
          <w:lang w:eastAsia="zh-CN"/>
          <w14:textFill>
            <w14:solidFill>
              <w14:schemeClr w14:val="tx1"/>
            </w14:solidFill>
          </w14:textFill>
        </w:rPr>
        <w:t>有权对</w:t>
      </w:r>
      <w:r>
        <w:rPr>
          <w:bCs/>
          <w:color w:val="000000" w:themeColor="text1"/>
          <w:sz w:val="24"/>
          <w:lang w:eastAsia="zh-CN"/>
          <w14:textFill>
            <w14:solidFill>
              <w14:schemeClr w14:val="tx1"/>
            </w14:solidFill>
          </w14:textFill>
        </w:rPr>
        <w:t>该单个基金份额</w:t>
      </w:r>
      <w:r>
        <w:rPr>
          <w:rFonts w:hint="eastAsia"/>
          <w:bCs/>
          <w:color w:val="000000" w:themeColor="text1"/>
          <w:sz w:val="24"/>
          <w:lang w:eastAsia="zh-CN"/>
          <w14:textFill>
            <w14:solidFill>
              <w14:schemeClr w14:val="tx1"/>
            </w14:solidFill>
          </w14:textFill>
        </w:rPr>
        <w:t>持有人</w:t>
      </w:r>
      <w:r>
        <w:rPr>
          <w:rFonts w:hint="eastAsia"/>
          <w:bCs/>
          <w:color w:val="000000" w:themeColor="text1"/>
          <w:sz w:val="24"/>
          <w:szCs w:val="24"/>
          <w:lang w:eastAsia="zh-CN"/>
          <w14:textFill>
            <w14:solidFill>
              <w14:schemeClr w14:val="tx1"/>
            </w14:solidFill>
          </w14:textFill>
        </w:rPr>
        <w:t>超出该比例的</w:t>
      </w:r>
      <w:r>
        <w:rPr>
          <w:bCs/>
          <w:color w:val="000000" w:themeColor="text1"/>
          <w:sz w:val="24"/>
          <w:lang w:eastAsia="zh-CN"/>
          <w14:textFill>
            <w14:solidFill>
              <w14:schemeClr w14:val="tx1"/>
            </w14:solidFill>
          </w14:textFill>
        </w:rPr>
        <w:t>赎回申请实施</w:t>
      </w:r>
      <w:r>
        <w:rPr>
          <w:rFonts w:hint="eastAsia"/>
          <w:bCs/>
          <w:color w:val="000000" w:themeColor="text1"/>
          <w:sz w:val="24"/>
          <w:lang w:eastAsia="zh-CN"/>
          <w14:textFill>
            <w14:solidFill>
              <w14:schemeClr w14:val="tx1"/>
            </w14:solidFill>
          </w14:textFill>
        </w:rPr>
        <w:t>延期办理，</w:t>
      </w:r>
      <w:r>
        <w:rPr>
          <w:rFonts w:hint="eastAsia"/>
          <w:bCs/>
          <w:color w:val="000000" w:themeColor="text1"/>
          <w:sz w:val="24"/>
          <w:szCs w:val="24"/>
          <w:lang w:eastAsia="zh-CN"/>
          <w14:textFill>
            <w14:solidFill>
              <w14:schemeClr w14:val="tx1"/>
            </w14:solidFill>
          </w14:textFill>
        </w:rPr>
        <w:t>对于该单个基金份额持有人的剩余赎回申请基金管理人有权根据前段“（</w:t>
      </w:r>
      <w:r>
        <w:rPr>
          <w:bCs/>
          <w:color w:val="000000" w:themeColor="text1"/>
          <w:sz w:val="24"/>
          <w:szCs w:val="24"/>
          <w:lang w:eastAsia="zh-CN"/>
          <w14:textFill>
            <w14:solidFill>
              <w14:schemeClr w14:val="tx1"/>
            </w14:solidFill>
          </w14:textFill>
        </w:rPr>
        <w:t>1）全</w:t>
      </w:r>
      <w:r>
        <w:rPr>
          <w:rFonts w:hint="eastAsia"/>
          <w:bCs/>
          <w:color w:val="000000" w:themeColor="text1"/>
          <w:sz w:val="24"/>
          <w:szCs w:val="24"/>
          <w:lang w:eastAsia="zh-CN"/>
          <w14:textFill>
            <w14:solidFill>
              <w14:schemeClr w14:val="tx1"/>
            </w14:solidFill>
          </w14:textFill>
        </w:rPr>
        <w:t>额</w:t>
      </w:r>
      <w:r>
        <w:rPr>
          <w:bCs/>
          <w:color w:val="000000" w:themeColor="text1"/>
          <w:sz w:val="24"/>
          <w:szCs w:val="24"/>
          <w:lang w:eastAsia="zh-CN"/>
          <w14:textFill>
            <w14:solidFill>
              <w14:schemeClr w14:val="tx1"/>
            </w14:solidFill>
          </w14:textFill>
        </w:rPr>
        <w:t>赎回</w:t>
      </w:r>
      <w:r>
        <w:rPr>
          <w:rFonts w:hint="eastAsia"/>
          <w:bCs/>
          <w:color w:val="000000" w:themeColor="text1"/>
          <w:sz w:val="24"/>
          <w:szCs w:val="24"/>
          <w:lang w:eastAsia="zh-CN"/>
          <w14:textFill>
            <w14:solidFill>
              <w14:schemeClr w14:val="tx1"/>
            </w14:solidFill>
          </w14:textFill>
        </w:rPr>
        <w:t>”</w:t>
      </w:r>
      <w:r>
        <w:rPr>
          <w:bCs/>
          <w:color w:val="000000" w:themeColor="text1"/>
          <w:sz w:val="24"/>
          <w:szCs w:val="24"/>
          <w:lang w:eastAsia="zh-CN"/>
          <w14:textFill>
            <w14:solidFill>
              <w14:schemeClr w14:val="tx1"/>
            </w14:solidFill>
          </w14:textFill>
        </w:rPr>
        <w:t>或</w:t>
      </w:r>
      <w:r>
        <w:rPr>
          <w:rFonts w:hint="eastAsia"/>
          <w:bCs/>
          <w:color w:val="000000" w:themeColor="text1"/>
          <w:sz w:val="24"/>
          <w:szCs w:val="24"/>
          <w:lang w:eastAsia="zh-CN"/>
          <w14:textFill>
            <w14:solidFill>
              <w14:schemeClr w14:val="tx1"/>
            </w14:solidFill>
          </w14:textFill>
        </w:rPr>
        <w:t>“</w:t>
      </w:r>
      <w:r>
        <w:rPr>
          <w:bCs/>
          <w:color w:val="000000" w:themeColor="text1"/>
          <w:sz w:val="24"/>
          <w:szCs w:val="24"/>
          <w:lang w:eastAsia="zh-CN"/>
          <w14:textFill>
            <w14:solidFill>
              <w14:schemeClr w14:val="tx1"/>
            </w14:solidFill>
          </w14:textFill>
        </w:rPr>
        <w:t>（2）</w:t>
      </w:r>
      <w:r>
        <w:rPr>
          <w:rFonts w:hint="eastAsia"/>
          <w:bCs/>
          <w:color w:val="000000" w:themeColor="text1"/>
          <w:sz w:val="24"/>
          <w:szCs w:val="24"/>
          <w:lang w:eastAsia="zh-CN"/>
          <w14:textFill>
            <w14:solidFill>
              <w14:schemeClr w14:val="tx1"/>
            </w14:solidFill>
          </w14:textFill>
        </w:rPr>
        <w:t>延缓支付赎回款项”与其他基金份额持有人的赎回申请一并办理。如延期办理期限超过开放期的，开放期相应延长，延长的开放期内不办理申购，亦不接受新的赎回申请，即基金管理人仅为原开放期内因提交赎回申请超过基金总份额20%以上而被延期办理赎回的单个基金份额持有人办理赎回业务</w:t>
      </w:r>
      <w:r>
        <w:rPr>
          <w:bCs/>
          <w:color w:val="000000" w:themeColor="text1"/>
          <w:sz w:val="24"/>
          <w:lang w:eastAsia="zh-CN"/>
          <w14:textFill>
            <w14:solidFill>
              <w14:schemeClr w14:val="tx1"/>
            </w14:solidFill>
          </w14:textFill>
        </w:rPr>
        <w:t>。</w:t>
      </w:r>
    </w:p>
    <w:p w14:paraId="0F13DCE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巨额赎回的公告</w:t>
      </w:r>
    </w:p>
    <w:p w14:paraId="6E8A14ED">
      <w:pPr>
        <w:spacing w:line="360" w:lineRule="auto"/>
        <w:ind w:firstLine="480" w:firstLineChars="200"/>
        <w:rPr>
          <w:bCs/>
          <w:color w:val="000000" w:themeColor="text1"/>
          <w:lang w:eastAsia="zh-CN"/>
          <w14:textFill>
            <w14:solidFill>
              <w14:schemeClr w14:val="tx1"/>
            </w14:solidFill>
          </w14:textFill>
        </w:rPr>
      </w:pPr>
      <w:r>
        <w:rPr>
          <w:bCs/>
          <w:color w:val="000000" w:themeColor="text1"/>
          <w:sz w:val="24"/>
          <w:lang w:eastAsia="zh-CN"/>
          <w14:textFill>
            <w14:solidFill>
              <w14:schemeClr w14:val="tx1"/>
            </w14:solidFill>
          </w14:textFill>
        </w:rPr>
        <w:t>当发生上述</w:t>
      </w:r>
      <w:r>
        <w:rPr>
          <w:rFonts w:hint="eastAsia"/>
          <w:bCs/>
          <w:color w:val="000000" w:themeColor="text1"/>
          <w:sz w:val="24"/>
          <w:lang w:eastAsia="zh-CN"/>
          <w14:textFill>
            <w14:solidFill>
              <w14:schemeClr w14:val="tx1"/>
            </w14:solidFill>
          </w14:textFill>
        </w:rPr>
        <w:t>巨额</w:t>
      </w:r>
      <w:r>
        <w:rPr>
          <w:bCs/>
          <w:color w:val="000000" w:themeColor="text1"/>
          <w:sz w:val="24"/>
          <w:lang w:eastAsia="zh-CN"/>
          <w14:textFill>
            <w14:solidFill>
              <w14:schemeClr w14:val="tx1"/>
            </w14:solidFill>
          </w14:textFill>
        </w:rPr>
        <w:t>赎回并</w:t>
      </w:r>
      <w:r>
        <w:rPr>
          <w:rFonts w:hint="eastAsia"/>
          <w:bCs/>
          <w:color w:val="000000" w:themeColor="text1"/>
          <w:sz w:val="24"/>
          <w:lang w:eastAsia="zh-CN"/>
          <w14:textFill>
            <w14:solidFill>
              <w14:schemeClr w14:val="tx1"/>
            </w14:solidFill>
          </w14:textFill>
        </w:rPr>
        <w:t>延缓支付赎回款项</w:t>
      </w:r>
      <w:r>
        <w:rPr>
          <w:bCs/>
          <w:color w:val="000000" w:themeColor="text1"/>
          <w:sz w:val="24"/>
          <w:lang w:eastAsia="zh-CN"/>
          <w14:textFill>
            <w14:solidFill>
              <w14:schemeClr w14:val="tx1"/>
            </w14:solidFill>
          </w14:textFill>
        </w:rPr>
        <w:t>时，基金管理人应当通过邮寄、传真或者招募说明书规定的其他方式在</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个交易日内通知基金份额持有人，说明有关处理方法，</w:t>
      </w:r>
      <w:r>
        <w:rPr>
          <w:rFonts w:hint="eastAsia"/>
          <w:bCs/>
          <w:color w:val="000000" w:themeColor="text1"/>
          <w:sz w:val="24"/>
          <w:lang w:eastAsia="zh-CN"/>
          <w14:textFill>
            <w14:solidFill>
              <w14:schemeClr w14:val="tx1"/>
            </w14:solidFill>
          </w14:textFill>
        </w:rPr>
        <w:t>并根据《信息披露办法》的规定</w:t>
      </w:r>
      <w:r>
        <w:rPr>
          <w:bCs/>
          <w:color w:val="000000" w:themeColor="text1"/>
          <w:sz w:val="24"/>
          <w:lang w:eastAsia="zh-CN"/>
          <w14:textFill>
            <w14:solidFill>
              <w14:schemeClr w14:val="tx1"/>
            </w14:solidFill>
          </w14:textFill>
        </w:rPr>
        <w:t>在</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上刊登公告。</w:t>
      </w:r>
    </w:p>
    <w:bookmarkEnd w:id="42"/>
    <w:p w14:paraId="7D95068B">
      <w:pPr>
        <w:spacing w:line="360" w:lineRule="auto"/>
        <w:ind w:firstLine="480" w:firstLineChars="200"/>
        <w:jc w:val="both"/>
        <w:rPr>
          <w:bCs/>
          <w:sz w:val="24"/>
          <w:lang w:eastAsia="zh-CN"/>
        </w:rPr>
      </w:pPr>
      <w:r>
        <w:rPr>
          <w:bCs/>
          <w:sz w:val="24"/>
          <w:lang w:eastAsia="zh-CN"/>
        </w:rPr>
        <w:t>十一</w:t>
      </w:r>
      <w:r>
        <w:rPr>
          <w:rFonts w:hint="eastAsia"/>
          <w:bCs/>
          <w:sz w:val="24"/>
          <w:lang w:eastAsia="zh-CN"/>
        </w:rPr>
        <w:t>、</w:t>
      </w:r>
      <w:r>
        <w:rPr>
          <w:bCs/>
          <w:sz w:val="24"/>
          <w:lang w:eastAsia="zh-CN"/>
        </w:rPr>
        <w:t>拒绝或暂停申购、暂停赎回或延缓支付赎回款项的情形及处理</w:t>
      </w:r>
    </w:p>
    <w:p w14:paraId="114265AD">
      <w:pPr>
        <w:adjustRightInd w:val="0"/>
        <w:snapToGrid w:val="0"/>
        <w:spacing w:line="360" w:lineRule="auto"/>
        <w:ind w:firstLine="480" w:firstLineChars="200"/>
        <w:jc w:val="left"/>
        <w:rPr>
          <w:bCs/>
          <w:sz w:val="24"/>
          <w:szCs w:val="24"/>
          <w:lang w:eastAsia="zh-CN"/>
        </w:rPr>
      </w:pPr>
      <w:bookmarkStart w:id="45" w:name="_Hlk115340055"/>
      <w:r>
        <w:rPr>
          <w:rFonts w:hint="default" w:cs="宋体"/>
          <w:bCs/>
          <w:kern w:val="0"/>
          <w:sz w:val="24"/>
          <w:szCs w:val="24"/>
          <w:lang w:eastAsia="zh-CN"/>
        </w:rPr>
        <w:t>（一）在开放期内，发生下列情况时，基金管理人可拒绝或暂停接受投资人的申购申请：</w:t>
      </w:r>
    </w:p>
    <w:p w14:paraId="59E73BE1">
      <w:pPr>
        <w:adjustRightInd w:val="0"/>
        <w:snapToGrid w:val="0"/>
        <w:spacing w:line="360" w:lineRule="auto"/>
        <w:ind w:firstLine="480" w:firstLineChars="200"/>
        <w:rPr>
          <w:bCs/>
          <w:sz w:val="24"/>
          <w:szCs w:val="24"/>
          <w:lang w:eastAsia="zh-CN"/>
        </w:rPr>
      </w:pPr>
      <w:r>
        <w:rPr>
          <w:bCs/>
          <w:sz w:val="24"/>
          <w:szCs w:val="24"/>
          <w:lang w:eastAsia="zh-CN"/>
        </w:rPr>
        <w:t>1、因不可抗力导致基金无法正常运作。</w:t>
      </w:r>
    </w:p>
    <w:p w14:paraId="0375000D">
      <w:pPr>
        <w:adjustRightInd w:val="0"/>
        <w:snapToGrid w:val="0"/>
        <w:spacing w:line="360" w:lineRule="auto"/>
        <w:ind w:firstLine="480" w:firstLineChars="200"/>
        <w:rPr>
          <w:bCs/>
          <w:sz w:val="24"/>
          <w:szCs w:val="24"/>
          <w:lang w:eastAsia="zh-CN"/>
        </w:rPr>
      </w:pPr>
      <w:r>
        <w:rPr>
          <w:bCs/>
          <w:sz w:val="24"/>
          <w:szCs w:val="24"/>
          <w:lang w:eastAsia="zh-CN"/>
        </w:rPr>
        <w:t>2、发生基金合同规定的暂停基金资产估值情况时，基金管理人可暂停接受投资人的申购申请。</w:t>
      </w:r>
    </w:p>
    <w:p w14:paraId="7EDA952C">
      <w:pPr>
        <w:adjustRightInd w:val="0"/>
        <w:snapToGrid w:val="0"/>
        <w:spacing w:line="360" w:lineRule="auto"/>
        <w:ind w:firstLine="480" w:firstLineChars="200"/>
        <w:rPr>
          <w:bCs/>
          <w:sz w:val="24"/>
          <w:szCs w:val="24"/>
          <w:lang w:eastAsia="zh-CN"/>
        </w:rPr>
      </w:pPr>
      <w:r>
        <w:rPr>
          <w:bCs/>
          <w:sz w:val="24"/>
          <w:szCs w:val="24"/>
          <w:lang w:eastAsia="zh-CN"/>
        </w:rPr>
        <w:t>3、证券交易所交易时间非正常停市，导致基金管理人无法计算当日基金资产净值。</w:t>
      </w:r>
    </w:p>
    <w:p w14:paraId="02A98138">
      <w:pPr>
        <w:adjustRightInd w:val="0"/>
        <w:snapToGrid w:val="0"/>
        <w:spacing w:line="360" w:lineRule="auto"/>
        <w:ind w:firstLine="480" w:firstLineChars="200"/>
        <w:rPr>
          <w:bCs/>
          <w:sz w:val="24"/>
          <w:szCs w:val="24"/>
          <w:lang w:eastAsia="zh-CN"/>
        </w:rPr>
      </w:pPr>
      <w:r>
        <w:rPr>
          <w:bCs/>
          <w:sz w:val="24"/>
          <w:szCs w:val="24"/>
          <w:lang w:eastAsia="zh-CN"/>
        </w:rPr>
        <w:t>4、接受某笔或某些申购申请可能会影响或损害现有基金份额持有人利益时。</w:t>
      </w:r>
    </w:p>
    <w:p w14:paraId="786C9053">
      <w:pPr>
        <w:adjustRightInd w:val="0"/>
        <w:snapToGrid w:val="0"/>
        <w:spacing w:line="360" w:lineRule="auto"/>
        <w:ind w:firstLine="480" w:firstLineChars="200"/>
        <w:rPr>
          <w:bCs/>
          <w:sz w:val="24"/>
          <w:szCs w:val="24"/>
          <w:lang w:eastAsia="zh-CN"/>
        </w:rPr>
      </w:pPr>
      <w:r>
        <w:rPr>
          <w:bCs/>
          <w:sz w:val="24"/>
          <w:szCs w:val="24"/>
          <w:lang w:eastAsia="zh-CN"/>
        </w:rPr>
        <w:t>5、基金资产规模过大，使基金管理人无法找到合适的投资品种，或其他可能对基金业绩产生负面影响，或发生其他损害现有基金份额持有人利益的情形。</w:t>
      </w:r>
    </w:p>
    <w:p w14:paraId="137DCF11">
      <w:pPr>
        <w:adjustRightInd w:val="0"/>
        <w:snapToGrid w:val="0"/>
        <w:spacing w:line="360" w:lineRule="auto"/>
        <w:ind w:firstLine="480" w:firstLineChars="200"/>
        <w:rPr>
          <w:bCs/>
          <w:sz w:val="24"/>
          <w:szCs w:val="24"/>
          <w:lang w:eastAsia="zh-CN"/>
        </w:rPr>
      </w:pPr>
      <w:r>
        <w:rPr>
          <w:bCs/>
          <w:sz w:val="24"/>
          <w:szCs w:val="24"/>
          <w:lang w:eastAsia="zh-CN"/>
        </w:rPr>
        <w:t>6、申购申请超过基金管理人设定的基金总规模、单日净申购比例上限、单一投资者单日或单笔申购金额上限的情形时。</w:t>
      </w:r>
    </w:p>
    <w:p w14:paraId="73D47FE6">
      <w:pPr>
        <w:adjustRightInd w:val="0"/>
        <w:snapToGrid w:val="0"/>
        <w:spacing w:line="360" w:lineRule="auto"/>
        <w:ind w:firstLine="480" w:firstLineChars="200"/>
        <w:rPr>
          <w:bCs/>
          <w:sz w:val="24"/>
          <w:szCs w:val="24"/>
          <w:lang w:eastAsia="zh-CN"/>
        </w:rPr>
      </w:pPr>
      <w:r>
        <w:rPr>
          <w:bCs/>
          <w:sz w:val="24"/>
          <w:szCs w:val="24"/>
          <w:lang w:eastAsia="zh-CN"/>
        </w:rPr>
        <w:t>7、当前一估值日基金资产净值50%以上的资产出现无可参考的活跃市场价格且采用估值技术仍导致公允价值存在重大不确定性时，经与基金托管人协商确认后，基金管理人应当暂停接受基金申购申请。</w:t>
      </w:r>
    </w:p>
    <w:p w14:paraId="60EF3E77">
      <w:pPr>
        <w:adjustRightInd w:val="0"/>
        <w:snapToGrid w:val="0"/>
        <w:spacing w:line="360" w:lineRule="auto"/>
        <w:ind w:firstLine="480" w:firstLineChars="200"/>
        <w:rPr>
          <w:bCs/>
          <w:sz w:val="24"/>
          <w:szCs w:val="24"/>
          <w:lang w:eastAsia="zh-CN"/>
        </w:rPr>
      </w:pPr>
      <w:r>
        <w:rPr>
          <w:bCs/>
          <w:sz w:val="24"/>
          <w:szCs w:val="24"/>
          <w:lang w:eastAsia="zh-CN"/>
        </w:rPr>
        <w:t>8、基金管理人接受某笔或者某些申购申请有可能导致单一投资者持有基金份额的比例达到或者超过50%，或者变相规避50%集中度的情形。</w:t>
      </w:r>
    </w:p>
    <w:p w14:paraId="71D28B85">
      <w:pPr>
        <w:adjustRightInd w:val="0"/>
        <w:snapToGrid w:val="0"/>
        <w:spacing w:line="360" w:lineRule="auto"/>
        <w:ind w:firstLine="480" w:firstLineChars="200"/>
        <w:rPr>
          <w:bCs/>
          <w:sz w:val="24"/>
          <w:szCs w:val="24"/>
          <w:lang w:eastAsia="zh-CN"/>
        </w:rPr>
      </w:pPr>
      <w:r>
        <w:rPr>
          <w:bCs/>
          <w:sz w:val="24"/>
          <w:szCs w:val="24"/>
          <w:lang w:eastAsia="zh-CN"/>
        </w:rPr>
        <w:t>9、基金管理人、基金托管人、登记机构、销售机构、支付结算机构等因异常情况导致基金销售系统、基金销售支付结算系统、基金登记系统、基金会计系统等无法正常运行。</w:t>
      </w:r>
    </w:p>
    <w:p w14:paraId="709F7BB5">
      <w:pPr>
        <w:adjustRightInd w:val="0"/>
        <w:snapToGrid w:val="0"/>
        <w:spacing w:line="360" w:lineRule="auto"/>
        <w:ind w:firstLine="480" w:firstLineChars="200"/>
        <w:rPr>
          <w:bCs/>
          <w:sz w:val="24"/>
          <w:szCs w:val="24"/>
          <w:lang w:eastAsia="zh-CN"/>
        </w:rPr>
      </w:pPr>
      <w:r>
        <w:rPr>
          <w:bCs/>
          <w:sz w:val="24"/>
          <w:szCs w:val="24"/>
          <w:lang w:eastAsia="zh-CN"/>
        </w:rPr>
        <w:t>10、法律法规规定或中国证监会认定的其他情形。</w:t>
      </w:r>
    </w:p>
    <w:p w14:paraId="5B38F57A">
      <w:pPr>
        <w:adjustRightInd w:val="0"/>
        <w:snapToGrid w:val="0"/>
        <w:spacing w:line="360" w:lineRule="auto"/>
        <w:ind w:firstLine="480" w:firstLineChars="200"/>
        <w:rPr>
          <w:bCs/>
          <w:sz w:val="24"/>
          <w:szCs w:val="24"/>
          <w:lang w:eastAsia="zh-CN"/>
        </w:rPr>
      </w:pPr>
      <w:r>
        <w:rPr>
          <w:rFonts w:hint="eastAsia"/>
          <w:bCs/>
          <w:sz w:val="24"/>
          <w:szCs w:val="24"/>
          <w:lang w:eastAsia="zh-CN"/>
        </w:rPr>
        <w:t>发生上述第</w:t>
      </w:r>
      <w:r>
        <w:rPr>
          <w:bCs/>
          <w:sz w:val="24"/>
          <w:szCs w:val="24"/>
          <w:lang w:eastAsia="zh-CN"/>
        </w:rPr>
        <w:t>1、2、3、5、7、9、10项暂停申购情形之一且基金管理人决定暂停接受投资人申购申请时，基金管理人应当根据《信息披露办法》的有关规定在规定媒介上刊登暂停申购公告。如果投资人的申购申请被全部或部分拒绝的，被拒绝的申购款项将退还给投资人。在暂停申购的情况消除时，基金管理人应及时恢复申购业务的办理，且开放期时间将相应顺延，具体时间见基金管理人届时的公告。</w:t>
      </w:r>
    </w:p>
    <w:p w14:paraId="6CA1CD80">
      <w:pPr>
        <w:adjustRightInd w:val="0"/>
        <w:snapToGrid w:val="0"/>
        <w:spacing w:line="360" w:lineRule="auto"/>
        <w:ind w:firstLine="480" w:firstLineChars="200"/>
        <w:rPr>
          <w:bCs/>
          <w:sz w:val="24"/>
          <w:szCs w:val="24"/>
          <w:lang w:eastAsia="zh-CN"/>
        </w:rPr>
      </w:pPr>
      <w:bookmarkStart w:id="46" w:name="_Hlt70481650"/>
      <w:bookmarkEnd w:id="46"/>
      <w:r>
        <w:rPr>
          <w:rFonts w:hint="eastAsia"/>
          <w:bCs/>
          <w:sz w:val="24"/>
          <w:lang w:eastAsia="zh-CN"/>
        </w:rPr>
        <w:t>（二）在开放期内</w:t>
      </w:r>
      <w:r>
        <w:rPr>
          <w:bCs/>
          <w:sz w:val="24"/>
          <w:szCs w:val="24"/>
          <w:lang w:eastAsia="zh-CN"/>
        </w:rPr>
        <w:t>发生下列情形时，基金管理人可暂停接受投资人的赎回申请或延缓支付赎回款项：</w:t>
      </w:r>
    </w:p>
    <w:p w14:paraId="014A611D">
      <w:pPr>
        <w:adjustRightInd w:val="0"/>
        <w:snapToGrid w:val="0"/>
        <w:spacing w:line="360" w:lineRule="auto"/>
        <w:ind w:firstLine="480" w:firstLineChars="200"/>
        <w:rPr>
          <w:bCs/>
          <w:sz w:val="24"/>
          <w:szCs w:val="24"/>
          <w:lang w:eastAsia="zh-CN"/>
        </w:rPr>
      </w:pPr>
      <w:r>
        <w:rPr>
          <w:bCs/>
          <w:sz w:val="24"/>
          <w:szCs w:val="24"/>
          <w:lang w:eastAsia="zh-CN"/>
        </w:rPr>
        <w:t>1、因不可抗力导致基金管理人不能支付赎回款项。</w:t>
      </w:r>
    </w:p>
    <w:p w14:paraId="11C58122">
      <w:pPr>
        <w:adjustRightInd w:val="0"/>
        <w:snapToGrid w:val="0"/>
        <w:spacing w:line="360" w:lineRule="auto"/>
        <w:ind w:firstLine="480" w:firstLineChars="200"/>
        <w:rPr>
          <w:bCs/>
          <w:sz w:val="24"/>
          <w:szCs w:val="24"/>
          <w:lang w:eastAsia="zh-CN"/>
        </w:rPr>
      </w:pPr>
      <w:r>
        <w:rPr>
          <w:bCs/>
          <w:sz w:val="24"/>
          <w:szCs w:val="24"/>
          <w:lang w:eastAsia="zh-CN"/>
        </w:rPr>
        <w:t>2、发生基金合同规定的暂停基金资产估值情况时，基金管理人可暂停接受投资人的赎回申请或延缓支付赎回款项。</w:t>
      </w:r>
    </w:p>
    <w:p w14:paraId="12CE827F">
      <w:pPr>
        <w:adjustRightInd w:val="0"/>
        <w:snapToGrid w:val="0"/>
        <w:spacing w:line="360" w:lineRule="auto"/>
        <w:ind w:firstLine="480" w:firstLineChars="200"/>
        <w:rPr>
          <w:bCs/>
          <w:sz w:val="24"/>
          <w:szCs w:val="24"/>
          <w:lang w:eastAsia="zh-CN"/>
        </w:rPr>
      </w:pPr>
      <w:r>
        <w:rPr>
          <w:bCs/>
          <w:sz w:val="24"/>
          <w:szCs w:val="24"/>
          <w:lang w:eastAsia="zh-CN"/>
        </w:rPr>
        <w:t>3、证券交易所交易时间非正常停市，导致基金管理人无法计算当日基金资产净值。</w:t>
      </w:r>
    </w:p>
    <w:p w14:paraId="680066EF">
      <w:pPr>
        <w:adjustRightInd w:val="0"/>
        <w:snapToGrid w:val="0"/>
        <w:spacing w:line="360" w:lineRule="auto"/>
        <w:ind w:firstLine="480" w:firstLineChars="200"/>
        <w:rPr>
          <w:bCs/>
          <w:sz w:val="24"/>
          <w:szCs w:val="24"/>
          <w:lang w:eastAsia="zh-CN"/>
        </w:rPr>
      </w:pPr>
      <w:r>
        <w:rPr>
          <w:bCs/>
          <w:sz w:val="24"/>
          <w:szCs w:val="24"/>
          <w:lang w:eastAsia="zh-CN"/>
        </w:rPr>
        <w:t>4、发生继续接受赎回申请将损害现有基金份额持有人利益的情形时，基金管理人可暂停接受基金份额持有人的赎回申请。</w:t>
      </w:r>
    </w:p>
    <w:p w14:paraId="584E56F1">
      <w:pPr>
        <w:adjustRightInd w:val="0"/>
        <w:snapToGrid w:val="0"/>
        <w:spacing w:line="360" w:lineRule="auto"/>
        <w:ind w:firstLine="480" w:firstLineChars="200"/>
        <w:rPr>
          <w:bCs/>
          <w:sz w:val="24"/>
          <w:szCs w:val="24"/>
          <w:lang w:eastAsia="zh-CN"/>
        </w:rPr>
      </w:pPr>
      <w:r>
        <w:rPr>
          <w:bCs/>
          <w:sz w:val="24"/>
          <w:szCs w:val="24"/>
          <w:lang w:eastAsia="zh-CN"/>
        </w:rPr>
        <w:t>5、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14:paraId="5E10CD3B">
      <w:pPr>
        <w:adjustRightInd w:val="0"/>
        <w:snapToGrid w:val="0"/>
        <w:spacing w:line="360" w:lineRule="auto"/>
        <w:ind w:firstLine="480" w:firstLineChars="200"/>
        <w:rPr>
          <w:bCs/>
          <w:sz w:val="24"/>
          <w:szCs w:val="24"/>
          <w:lang w:eastAsia="zh-CN"/>
        </w:rPr>
      </w:pPr>
      <w:r>
        <w:rPr>
          <w:bCs/>
          <w:sz w:val="24"/>
          <w:szCs w:val="24"/>
          <w:lang w:eastAsia="zh-CN"/>
        </w:rPr>
        <w:t>6、本基金的资产组合中的重要部分发生暂停交易或其他重大事件，继续接受赎回可能会影响或损害基金份额持有人利益时。</w:t>
      </w:r>
    </w:p>
    <w:p w14:paraId="55321D71">
      <w:pPr>
        <w:adjustRightInd w:val="0"/>
        <w:snapToGrid w:val="0"/>
        <w:spacing w:line="360" w:lineRule="auto"/>
        <w:ind w:firstLine="480" w:firstLineChars="200"/>
        <w:rPr>
          <w:bCs/>
          <w:sz w:val="24"/>
          <w:szCs w:val="24"/>
          <w:lang w:eastAsia="zh-CN"/>
        </w:rPr>
      </w:pPr>
      <w:r>
        <w:rPr>
          <w:bCs/>
          <w:sz w:val="24"/>
          <w:szCs w:val="24"/>
          <w:lang w:eastAsia="zh-CN"/>
        </w:rPr>
        <w:t>7、法律法规规定或中国证监会认定的其他情形。</w:t>
      </w:r>
    </w:p>
    <w:p w14:paraId="764C6C8E">
      <w:pPr>
        <w:adjustRightInd w:val="0"/>
        <w:snapToGrid w:val="0"/>
        <w:spacing w:line="360" w:lineRule="auto"/>
        <w:ind w:firstLine="480" w:firstLineChars="200"/>
        <w:rPr>
          <w:bCs/>
          <w:sz w:val="24"/>
          <w:szCs w:val="24"/>
          <w:lang w:eastAsia="zh-CN"/>
        </w:rPr>
      </w:pPr>
      <w:r>
        <w:rPr>
          <w:rFonts w:hint="eastAsia"/>
          <w:bCs/>
          <w:sz w:val="24"/>
          <w:szCs w:val="24"/>
          <w:lang w:eastAsia="zh-CN"/>
        </w:rPr>
        <w:t>发生上述情形之一且基金管理人决定暂停赎回或延缓支付赎回款项时，基金管理人应根据《信息披露办法》有关规定在规定媒介上公告并报中国证监会备案，已确认的赎回申请，基金管理人应足额支付；如暂时不能足额支付，应将可支付部分按单个账户申请量占申请总量的比例分配给赎回申请人，未支付部分可延期支付。基金份额持有人在申请赎回时可事先选择将当日可能未获受理部分予以撤销。在暂停赎回的情况消除时，基金管理人应及时恢复赎回业务的办理，且开放期时间将相应顺延，具体时间见基金管理人届时的公告。</w:t>
      </w:r>
    </w:p>
    <w:p w14:paraId="3D4AF93D">
      <w:pPr>
        <w:spacing w:line="360" w:lineRule="auto"/>
        <w:ind w:firstLine="480" w:firstLineChars="200"/>
        <w:jc w:val="both"/>
        <w:rPr>
          <w:bCs/>
          <w:sz w:val="24"/>
          <w:lang w:eastAsia="zh-CN"/>
        </w:rPr>
      </w:pPr>
      <w:r>
        <w:rPr>
          <w:rFonts w:hint="eastAsia"/>
          <w:bCs/>
          <w:sz w:val="24"/>
          <w:lang w:eastAsia="zh-CN"/>
        </w:rPr>
        <w:t>（三）</w:t>
      </w:r>
      <w:r>
        <w:rPr>
          <w:bCs/>
          <w:sz w:val="24"/>
          <w:lang w:eastAsia="zh-CN"/>
        </w:rPr>
        <w:t>暂停申购或赎回的公告和重新开放申购或赎回的公告</w:t>
      </w:r>
    </w:p>
    <w:p w14:paraId="3D8BF9D2">
      <w:pPr>
        <w:spacing w:line="360" w:lineRule="auto"/>
        <w:ind w:firstLine="480" w:firstLineChars="200"/>
        <w:jc w:val="both"/>
        <w:rPr>
          <w:bCs/>
          <w:color w:val="000000"/>
          <w:sz w:val="24"/>
          <w:lang w:eastAsia="zh-CN"/>
        </w:rPr>
      </w:pPr>
      <w:r>
        <w:rPr>
          <w:bCs/>
          <w:color w:val="000000"/>
          <w:sz w:val="24"/>
          <w:lang w:eastAsia="zh-CN"/>
        </w:rPr>
        <w:t>1、发生上述暂停申购或赎回情况的，基金管理人应在规定期限内在规定媒介上刊登暂停公告。</w:t>
      </w:r>
    </w:p>
    <w:p w14:paraId="7687D779">
      <w:pPr>
        <w:spacing w:line="360" w:lineRule="auto"/>
        <w:ind w:firstLine="480" w:firstLineChars="200"/>
        <w:jc w:val="both"/>
        <w:rPr>
          <w:bCs/>
          <w:color w:val="000000"/>
          <w:sz w:val="24"/>
          <w:lang w:eastAsia="zh-CN"/>
        </w:rPr>
      </w:pPr>
      <w:r>
        <w:rPr>
          <w:bCs/>
          <w:color w:val="000000"/>
          <w:sz w:val="24"/>
          <w:lang w:eastAsia="zh-CN"/>
        </w:rPr>
        <w:t>2</w:t>
      </w:r>
      <w:r>
        <w:rPr>
          <w:rFonts w:hint="eastAsia"/>
          <w:bCs/>
          <w:color w:val="000000"/>
          <w:sz w:val="24"/>
          <w:lang w:eastAsia="zh-CN"/>
        </w:rPr>
        <w:t>、</w:t>
      </w:r>
      <w:r>
        <w:rPr>
          <w:bCs/>
          <w:color w:val="000000"/>
          <w:sz w:val="24"/>
          <w:lang w:eastAsia="zh-CN"/>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2B1FEE2D">
      <w:pPr>
        <w:spacing w:line="360" w:lineRule="auto"/>
        <w:ind w:firstLine="480" w:firstLineChars="200"/>
        <w:jc w:val="both"/>
        <w:rPr>
          <w:bCs/>
          <w:color w:val="000000"/>
          <w:sz w:val="24"/>
          <w:lang w:eastAsia="zh-CN"/>
        </w:rPr>
      </w:pPr>
      <w:r>
        <w:rPr>
          <w:bCs/>
          <w:color w:val="000000"/>
          <w:sz w:val="24"/>
          <w:lang w:eastAsia="zh-CN"/>
        </w:rPr>
        <w:t>3、以上暂停及恢复基金申购与赎回的公告规定，不适用于基金合同约定的封闭期与开放期运作方式转换引起的暂停或恢复申购与赎回的情形。</w:t>
      </w:r>
    </w:p>
    <w:bookmarkEnd w:id="45"/>
    <w:p w14:paraId="52E9B335">
      <w:pPr>
        <w:spacing w:line="360" w:lineRule="auto"/>
        <w:ind w:firstLine="480" w:firstLineChars="200"/>
        <w:jc w:val="both"/>
        <w:rPr>
          <w:bCs/>
          <w:color w:val="000000"/>
          <w:sz w:val="24"/>
          <w:lang w:eastAsia="zh-CN"/>
        </w:rPr>
      </w:pPr>
      <w:bookmarkStart w:id="47" w:name="_Hlk115340060"/>
      <w:r>
        <w:rPr>
          <w:rFonts w:hint="eastAsia"/>
          <w:bCs/>
          <w:color w:val="000000"/>
          <w:sz w:val="24"/>
          <w:lang w:eastAsia="zh-CN"/>
        </w:rPr>
        <w:t>十二、其他业务</w:t>
      </w:r>
    </w:p>
    <w:p w14:paraId="1F1B8A49">
      <w:pPr>
        <w:spacing w:line="360" w:lineRule="auto"/>
        <w:ind w:firstLine="480" w:firstLineChars="200"/>
        <w:jc w:val="both"/>
        <w:rPr>
          <w:bCs/>
          <w:color w:val="000000"/>
          <w:sz w:val="24"/>
          <w:lang w:eastAsia="zh-CN"/>
        </w:rPr>
      </w:pPr>
      <w:r>
        <w:rPr>
          <w:rFonts w:hint="eastAsia"/>
          <w:bCs/>
          <w:color w:val="000000"/>
          <w:sz w:val="24"/>
          <w:lang w:eastAsia="zh-CN"/>
        </w:rPr>
        <w:t>在不违反法律法规及中国证监会规定的前提下，基金管理人可在对基金份额持有人利益无实质性不利影响的情形下办理其他基金业务。届时，基金管理人可制定相应的业务规则，并依照《信息披露办法》的有关规定进行公告。</w:t>
      </w:r>
    </w:p>
    <w:p w14:paraId="580418A2">
      <w:pPr>
        <w:spacing w:line="360" w:lineRule="auto"/>
        <w:ind w:firstLine="480" w:firstLineChars="200"/>
        <w:jc w:val="both"/>
        <w:rPr>
          <w:bCs/>
          <w:color w:val="000000"/>
          <w:sz w:val="24"/>
          <w:lang w:eastAsia="zh-CN"/>
        </w:rPr>
      </w:pPr>
      <w:r>
        <w:rPr>
          <w:rFonts w:hint="eastAsia"/>
          <w:bCs/>
          <w:color w:val="000000"/>
          <w:sz w:val="24"/>
          <w:lang w:eastAsia="zh-CN"/>
        </w:rPr>
        <w:t>十三、实施侧袋机制期间本基金的申购与赎回</w:t>
      </w:r>
    </w:p>
    <w:p w14:paraId="10211182">
      <w:pPr>
        <w:spacing w:line="360" w:lineRule="auto"/>
        <w:ind w:firstLine="480" w:firstLineChars="200"/>
        <w:jc w:val="both"/>
        <w:rPr>
          <w:bCs/>
          <w:color w:val="000000"/>
          <w:sz w:val="24"/>
          <w:lang w:eastAsia="zh-CN"/>
        </w:rPr>
      </w:pPr>
      <w:r>
        <w:rPr>
          <w:bCs/>
          <w:color w:val="000000"/>
          <w:sz w:val="24"/>
          <w:lang w:eastAsia="zh-CN"/>
        </w:rPr>
        <w:t>本基金实施侧袋机制的，本基金的申购和赎回安排详见招募说明书</w:t>
      </w:r>
      <w:r>
        <w:rPr>
          <w:rFonts w:hint="eastAsia"/>
          <w:bCs/>
          <w:color w:val="000000"/>
          <w:sz w:val="24"/>
          <w:lang w:eastAsia="zh-CN"/>
        </w:rPr>
        <w:t>“侧袋机制”部分的规定</w:t>
      </w:r>
      <w:r>
        <w:rPr>
          <w:bCs/>
          <w:color w:val="000000"/>
          <w:sz w:val="24"/>
          <w:lang w:eastAsia="zh-CN"/>
        </w:rPr>
        <w:t>或相关公告。</w:t>
      </w:r>
    </w:p>
    <w:p w14:paraId="6C515CF5">
      <w:pPr>
        <w:spacing w:line="360" w:lineRule="auto"/>
        <w:ind w:firstLine="480" w:firstLineChars="200"/>
        <w:jc w:val="both"/>
        <w:rPr>
          <w:bCs/>
          <w:color w:val="000000"/>
          <w:sz w:val="24"/>
          <w:lang w:eastAsia="zh-CN"/>
        </w:rPr>
      </w:pPr>
      <w:r>
        <w:rPr>
          <w:rFonts w:hint="eastAsia"/>
          <w:bCs/>
          <w:color w:val="000000"/>
          <w:sz w:val="24"/>
          <w:lang w:eastAsia="zh-CN"/>
        </w:rPr>
        <w:t>十四、</w:t>
      </w:r>
      <w:r>
        <w:rPr>
          <w:bCs/>
          <w:color w:val="000000"/>
          <w:sz w:val="24"/>
          <w:lang w:eastAsia="zh-CN"/>
        </w:rPr>
        <w:t>在不违反法律法规且对基金份额持有人利益无实质不利影响的前提下，基金管理人可根据具体情况对上述申购和赎回以及相关业务的安排进行补充和调整，或者办理基金份额的转让、过户</w:t>
      </w:r>
      <w:r>
        <w:rPr>
          <w:rFonts w:hint="eastAsia"/>
          <w:bCs/>
          <w:color w:val="000000"/>
          <w:sz w:val="24"/>
          <w:lang w:eastAsia="zh-CN"/>
        </w:rPr>
        <w:t>、质押</w:t>
      </w:r>
      <w:r>
        <w:rPr>
          <w:bCs/>
          <w:color w:val="000000"/>
          <w:sz w:val="24"/>
          <w:lang w:eastAsia="zh-CN"/>
        </w:rPr>
        <w:t>等业务，届时无须召开基金份额持有人大会审议但须提前公告。</w:t>
      </w:r>
    </w:p>
    <w:bookmarkEnd w:id="43"/>
    <w:bookmarkEnd w:id="47"/>
    <w:p w14:paraId="652247A8">
      <w:pPr>
        <w:rPr>
          <w:bCs/>
          <w:color w:val="000000"/>
          <w:sz w:val="24"/>
          <w:lang w:eastAsia="zh-CN"/>
        </w:rPr>
      </w:pPr>
      <w:r>
        <w:rPr>
          <w:bCs/>
          <w:color w:val="000000"/>
          <w:sz w:val="24"/>
          <w:lang w:eastAsia="zh-CN"/>
        </w:rPr>
        <w:br w:type="page"/>
      </w:r>
    </w:p>
    <w:bookmarkEnd w:id="38"/>
    <w:bookmarkEnd w:id="44"/>
    <w:p w14:paraId="1A8125F0">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48" w:name="_bookmark9"/>
      <w:bookmarkEnd w:id="48"/>
      <w:bookmarkStart w:id="49" w:name="_Toc69831247"/>
      <w:r>
        <w:rPr>
          <w:rFonts w:ascii="Times New Roman" w:hAnsi="Times New Roman" w:cs="Times New Roman"/>
          <w:b/>
          <w:szCs w:val="20"/>
          <w:lang w:eastAsia="zh-CN" w:bidi="ar-SA"/>
        </w:rPr>
        <w:t>第</w:t>
      </w:r>
      <w:r>
        <w:rPr>
          <w:rFonts w:hint="eastAsia" w:ascii="Times New Roman" w:hAnsi="Times New Roman" w:cs="Times New Roman"/>
          <w:b/>
          <w:szCs w:val="20"/>
          <w:lang w:eastAsia="zh-CN" w:bidi="ar-SA"/>
        </w:rPr>
        <w:t>九</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基金转换</w:t>
      </w:r>
      <w:r>
        <w:rPr>
          <w:rFonts w:hint="eastAsia" w:ascii="Times New Roman" w:hAnsi="Times New Roman" w:cs="Times New Roman"/>
          <w:b/>
          <w:szCs w:val="20"/>
          <w:lang w:eastAsia="zh-CN" w:bidi="ar-SA"/>
        </w:rPr>
        <w:t>和基金份额的转让</w:t>
      </w:r>
      <w:bookmarkEnd w:id="49"/>
    </w:p>
    <w:p w14:paraId="43B22D24">
      <w:pPr>
        <w:spacing w:line="360" w:lineRule="auto"/>
        <w:ind w:firstLine="480" w:firstLineChars="200"/>
        <w:rPr>
          <w:bCs/>
          <w:color w:val="000000"/>
          <w:sz w:val="24"/>
          <w:lang w:eastAsia="zh-CN"/>
        </w:rPr>
      </w:pPr>
    </w:p>
    <w:p w14:paraId="524ADB17">
      <w:pPr>
        <w:spacing w:line="360" w:lineRule="auto"/>
        <w:ind w:firstLine="480" w:firstLineChars="200"/>
        <w:jc w:val="both"/>
        <w:rPr>
          <w:bCs/>
          <w:color w:val="000000"/>
          <w:sz w:val="24"/>
          <w:lang w:eastAsia="zh-CN"/>
        </w:rPr>
      </w:pPr>
      <w:bookmarkStart w:id="50" w:name="_Hlk115340064"/>
      <w:bookmarkStart w:id="51" w:name="_Hlk97497645"/>
      <w:r>
        <w:rPr>
          <w:bCs/>
          <w:color w:val="000000"/>
          <w:sz w:val="24"/>
          <w:lang w:eastAsia="zh-CN"/>
        </w:rPr>
        <w:t>一</w:t>
      </w:r>
      <w:r>
        <w:rPr>
          <w:rFonts w:hint="eastAsia"/>
          <w:bCs/>
          <w:color w:val="000000"/>
          <w:sz w:val="24"/>
          <w:lang w:eastAsia="zh-CN"/>
        </w:rPr>
        <w:t>、</w:t>
      </w:r>
      <w:r>
        <w:rPr>
          <w:bCs/>
          <w:color w:val="000000"/>
          <w:sz w:val="24"/>
          <w:lang w:eastAsia="zh-CN"/>
        </w:rPr>
        <w:t>基金转换</w:t>
      </w:r>
    </w:p>
    <w:p w14:paraId="443C57C7">
      <w:pPr>
        <w:spacing w:line="360" w:lineRule="auto"/>
        <w:ind w:firstLine="480" w:firstLineChars="200"/>
        <w:jc w:val="both"/>
        <w:rPr>
          <w:bCs/>
          <w:color w:val="000000"/>
          <w:sz w:val="24"/>
          <w:lang w:eastAsia="zh-CN"/>
        </w:rPr>
      </w:pPr>
      <w:r>
        <w:rPr>
          <w:bCs/>
          <w:color w:val="000000"/>
          <w:sz w:val="24"/>
          <w:lang w:eastAsia="zh-CN"/>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536BB787">
      <w:pPr>
        <w:spacing w:line="360" w:lineRule="auto"/>
        <w:ind w:firstLine="480" w:firstLineChars="200"/>
        <w:jc w:val="both"/>
        <w:rPr>
          <w:bCs/>
          <w:color w:val="000000"/>
          <w:sz w:val="24"/>
          <w:lang w:eastAsia="zh-CN"/>
        </w:rPr>
      </w:pPr>
      <w:r>
        <w:rPr>
          <w:bCs/>
          <w:color w:val="000000"/>
          <w:sz w:val="24"/>
          <w:lang w:eastAsia="zh-CN"/>
        </w:rPr>
        <w:t>二</w:t>
      </w:r>
      <w:r>
        <w:rPr>
          <w:rFonts w:hint="eastAsia"/>
          <w:bCs/>
          <w:color w:val="000000"/>
          <w:sz w:val="24"/>
          <w:lang w:eastAsia="zh-CN"/>
        </w:rPr>
        <w:t>、</w:t>
      </w:r>
      <w:r>
        <w:rPr>
          <w:bCs/>
          <w:color w:val="000000"/>
          <w:sz w:val="24"/>
          <w:lang w:eastAsia="zh-CN"/>
        </w:rPr>
        <w:t>基金份额</w:t>
      </w:r>
      <w:r>
        <w:rPr>
          <w:rFonts w:hint="eastAsia"/>
          <w:bCs/>
          <w:color w:val="000000"/>
          <w:sz w:val="24"/>
          <w:lang w:eastAsia="zh-CN"/>
        </w:rPr>
        <w:t>的</w:t>
      </w:r>
      <w:r>
        <w:rPr>
          <w:bCs/>
          <w:color w:val="000000"/>
          <w:sz w:val="24"/>
          <w:lang w:eastAsia="zh-CN"/>
        </w:rPr>
        <w:t>转让</w:t>
      </w:r>
    </w:p>
    <w:p w14:paraId="778B7A87">
      <w:pPr>
        <w:spacing w:line="360" w:lineRule="auto"/>
        <w:ind w:firstLine="480" w:firstLineChars="200"/>
        <w:jc w:val="both"/>
        <w:rPr>
          <w:bCs/>
          <w:color w:val="000000"/>
          <w:sz w:val="24"/>
          <w:lang w:eastAsia="zh-CN"/>
        </w:rPr>
      </w:pPr>
      <w:r>
        <w:rPr>
          <w:rFonts w:hint="eastAsia"/>
          <w:bCs/>
          <w:color w:val="000000"/>
          <w:sz w:val="24"/>
          <w:lang w:eastAsia="zh-CN"/>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206F58DE">
      <w:pPr>
        <w:spacing w:line="360" w:lineRule="auto"/>
        <w:ind w:firstLine="480" w:firstLineChars="200"/>
        <w:jc w:val="both"/>
        <w:rPr>
          <w:bCs/>
          <w:color w:val="000000"/>
          <w:sz w:val="24"/>
          <w:lang w:eastAsia="zh-CN"/>
        </w:rPr>
      </w:pPr>
    </w:p>
    <w:p w14:paraId="1181B5D3">
      <w:pPr>
        <w:spacing w:line="360" w:lineRule="auto"/>
        <w:ind w:firstLine="480" w:firstLineChars="200"/>
        <w:jc w:val="both"/>
        <w:rPr>
          <w:bCs/>
          <w:color w:val="000000"/>
          <w:sz w:val="24"/>
          <w:lang w:eastAsia="zh-CN"/>
        </w:rPr>
      </w:pPr>
    </w:p>
    <w:p w14:paraId="3EC95976">
      <w:pPr>
        <w:spacing w:line="360" w:lineRule="auto"/>
        <w:ind w:firstLine="480" w:firstLineChars="200"/>
        <w:jc w:val="both"/>
        <w:rPr>
          <w:bCs/>
          <w:color w:val="000000"/>
          <w:sz w:val="24"/>
          <w:lang w:eastAsia="zh-CN"/>
        </w:rPr>
      </w:pPr>
    </w:p>
    <w:bookmarkEnd w:id="50"/>
    <w:p w14:paraId="5577DD40">
      <w:pPr>
        <w:spacing w:line="360" w:lineRule="auto"/>
        <w:ind w:firstLine="480" w:firstLineChars="200"/>
        <w:jc w:val="both"/>
        <w:rPr>
          <w:bCs/>
          <w:color w:val="000000"/>
          <w:sz w:val="24"/>
          <w:lang w:eastAsia="zh-CN"/>
        </w:rPr>
      </w:pPr>
    </w:p>
    <w:p w14:paraId="55BB40FB">
      <w:pPr>
        <w:spacing w:line="360" w:lineRule="auto"/>
        <w:ind w:firstLine="480" w:firstLineChars="200"/>
        <w:jc w:val="both"/>
        <w:rPr>
          <w:bCs/>
          <w:color w:val="000000"/>
          <w:sz w:val="24"/>
          <w:lang w:eastAsia="zh-CN"/>
        </w:rPr>
      </w:pPr>
    </w:p>
    <w:p w14:paraId="5E0BA706">
      <w:pPr>
        <w:spacing w:line="360" w:lineRule="auto"/>
        <w:ind w:firstLine="480" w:firstLineChars="200"/>
        <w:jc w:val="both"/>
        <w:rPr>
          <w:bCs/>
          <w:color w:val="000000"/>
          <w:sz w:val="24"/>
          <w:lang w:eastAsia="zh-CN"/>
        </w:rPr>
      </w:pPr>
    </w:p>
    <w:p w14:paraId="7498A1CD">
      <w:pPr>
        <w:spacing w:line="360" w:lineRule="auto"/>
        <w:ind w:firstLine="480" w:firstLineChars="200"/>
        <w:jc w:val="both"/>
        <w:rPr>
          <w:bCs/>
          <w:color w:val="000000"/>
          <w:sz w:val="24"/>
          <w:lang w:eastAsia="zh-CN"/>
        </w:rPr>
      </w:pPr>
    </w:p>
    <w:p w14:paraId="27000DB2">
      <w:pPr>
        <w:spacing w:line="360" w:lineRule="auto"/>
        <w:ind w:firstLine="480" w:firstLineChars="200"/>
        <w:jc w:val="both"/>
        <w:rPr>
          <w:bCs/>
          <w:color w:val="000000"/>
          <w:sz w:val="24"/>
          <w:lang w:eastAsia="zh-CN"/>
        </w:rPr>
      </w:pPr>
    </w:p>
    <w:p w14:paraId="21016F38">
      <w:pPr>
        <w:spacing w:line="360" w:lineRule="auto"/>
        <w:ind w:firstLine="480" w:firstLineChars="200"/>
        <w:jc w:val="both"/>
        <w:rPr>
          <w:bCs/>
          <w:color w:val="000000"/>
          <w:sz w:val="24"/>
          <w:lang w:eastAsia="zh-CN"/>
        </w:rPr>
      </w:pPr>
    </w:p>
    <w:p w14:paraId="2E38F773">
      <w:pPr>
        <w:spacing w:line="360" w:lineRule="auto"/>
        <w:ind w:firstLine="480" w:firstLineChars="200"/>
        <w:jc w:val="both"/>
        <w:rPr>
          <w:bCs/>
          <w:color w:val="000000"/>
          <w:sz w:val="24"/>
          <w:lang w:eastAsia="zh-CN"/>
        </w:rPr>
      </w:pPr>
    </w:p>
    <w:p w14:paraId="5DB95E54">
      <w:pPr>
        <w:spacing w:line="360" w:lineRule="auto"/>
        <w:ind w:firstLine="480" w:firstLineChars="200"/>
        <w:jc w:val="both"/>
        <w:rPr>
          <w:bCs/>
          <w:color w:val="000000"/>
          <w:sz w:val="24"/>
          <w:lang w:eastAsia="zh-CN"/>
        </w:rPr>
      </w:pPr>
    </w:p>
    <w:p w14:paraId="2BD73287">
      <w:pPr>
        <w:spacing w:line="360" w:lineRule="auto"/>
        <w:ind w:firstLine="480" w:firstLineChars="200"/>
        <w:jc w:val="both"/>
        <w:rPr>
          <w:bCs/>
          <w:color w:val="000000"/>
          <w:sz w:val="24"/>
          <w:lang w:eastAsia="zh-CN"/>
        </w:rPr>
      </w:pPr>
    </w:p>
    <w:p w14:paraId="20C67AAA">
      <w:pPr>
        <w:spacing w:line="360" w:lineRule="auto"/>
        <w:ind w:firstLine="480" w:firstLineChars="200"/>
        <w:jc w:val="both"/>
        <w:rPr>
          <w:bCs/>
          <w:color w:val="000000"/>
          <w:sz w:val="24"/>
          <w:lang w:eastAsia="zh-CN"/>
        </w:rPr>
      </w:pPr>
    </w:p>
    <w:p w14:paraId="73158042">
      <w:pPr>
        <w:spacing w:line="360" w:lineRule="auto"/>
        <w:ind w:firstLine="480" w:firstLineChars="200"/>
        <w:jc w:val="both"/>
        <w:rPr>
          <w:bCs/>
          <w:color w:val="000000"/>
          <w:sz w:val="24"/>
          <w:lang w:eastAsia="zh-CN"/>
        </w:rPr>
      </w:pPr>
    </w:p>
    <w:p w14:paraId="212E6B74">
      <w:pPr>
        <w:spacing w:line="360" w:lineRule="auto"/>
        <w:ind w:firstLine="480" w:firstLineChars="200"/>
        <w:jc w:val="both"/>
        <w:rPr>
          <w:bCs/>
          <w:color w:val="000000"/>
          <w:sz w:val="24"/>
          <w:lang w:eastAsia="zh-CN"/>
        </w:rPr>
      </w:pPr>
    </w:p>
    <w:bookmarkEnd w:id="51"/>
    <w:p w14:paraId="638AB1B0">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52" w:name="_bookmark10"/>
      <w:bookmarkEnd w:id="52"/>
      <w:bookmarkStart w:id="53" w:name="_Toc69831248"/>
      <w:r>
        <w:rPr>
          <w:rFonts w:ascii="Times New Roman" w:hAnsi="Times New Roman" w:cs="Times New Roman"/>
          <w:b/>
          <w:szCs w:val="20"/>
          <w:lang w:eastAsia="zh-CN" w:bidi="ar-SA"/>
        </w:rPr>
        <w:t>第十部分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基金的转托管</w:t>
      </w:r>
      <w:r>
        <w:rPr>
          <w:rFonts w:hint="eastAsia" w:ascii="Times New Roman" w:hAnsi="Times New Roman" w:cs="Times New Roman"/>
          <w:b/>
          <w:szCs w:val="20"/>
          <w:lang w:eastAsia="zh-CN" w:bidi="ar-SA"/>
        </w:rPr>
        <w:t>、</w:t>
      </w:r>
      <w:r>
        <w:rPr>
          <w:rFonts w:ascii="Times New Roman" w:hAnsi="Times New Roman" w:cs="Times New Roman"/>
          <w:b/>
          <w:szCs w:val="20"/>
          <w:lang w:eastAsia="zh-CN" w:bidi="ar-SA"/>
        </w:rPr>
        <w:t>非交易过户、冻结与解冻</w:t>
      </w:r>
      <w:bookmarkEnd w:id="53"/>
    </w:p>
    <w:p w14:paraId="623227CE">
      <w:pPr>
        <w:spacing w:line="360" w:lineRule="auto"/>
        <w:ind w:firstLine="480" w:firstLineChars="200"/>
        <w:rPr>
          <w:bCs/>
          <w:color w:val="000000"/>
          <w:sz w:val="24"/>
          <w:lang w:eastAsia="zh-CN"/>
        </w:rPr>
      </w:pPr>
    </w:p>
    <w:p w14:paraId="54E75E78">
      <w:pPr>
        <w:spacing w:line="360" w:lineRule="auto"/>
        <w:ind w:firstLine="480" w:firstLineChars="200"/>
        <w:jc w:val="both"/>
        <w:rPr>
          <w:bCs/>
          <w:color w:val="000000"/>
          <w:sz w:val="24"/>
          <w:lang w:eastAsia="zh-CN"/>
        </w:rPr>
      </w:pPr>
      <w:bookmarkStart w:id="54" w:name="_Hlk115340069"/>
      <w:bookmarkStart w:id="55" w:name="_Hlk97497883"/>
      <w:r>
        <w:rPr>
          <w:bCs/>
          <w:color w:val="000000"/>
          <w:sz w:val="24"/>
          <w:lang w:eastAsia="zh-CN"/>
        </w:rPr>
        <w:t>一</w:t>
      </w:r>
      <w:r>
        <w:rPr>
          <w:rFonts w:hint="eastAsia"/>
          <w:bCs/>
          <w:color w:val="000000"/>
          <w:sz w:val="24"/>
          <w:lang w:eastAsia="zh-CN"/>
        </w:rPr>
        <w:t>、</w:t>
      </w:r>
      <w:r>
        <w:rPr>
          <w:bCs/>
          <w:color w:val="000000"/>
          <w:sz w:val="24"/>
          <w:lang w:eastAsia="zh-CN"/>
        </w:rPr>
        <w:t>基金的转托管</w:t>
      </w:r>
    </w:p>
    <w:p w14:paraId="0EE81256">
      <w:pPr>
        <w:spacing w:line="360" w:lineRule="auto"/>
        <w:ind w:firstLine="480" w:firstLineChars="200"/>
        <w:jc w:val="both"/>
        <w:rPr>
          <w:bCs/>
          <w:color w:val="000000"/>
          <w:sz w:val="24"/>
          <w:lang w:eastAsia="zh-CN"/>
        </w:rPr>
      </w:pPr>
      <w:r>
        <w:rPr>
          <w:bCs/>
          <w:color w:val="000000"/>
          <w:sz w:val="24"/>
          <w:lang w:eastAsia="zh-CN"/>
        </w:rPr>
        <w:t>基金份额持有人可办理已持有基金份额在不同销售机构之间的转托管，基金销售机构可以按照规定的标准收取转托管费。</w:t>
      </w:r>
    </w:p>
    <w:p w14:paraId="283B366B">
      <w:pPr>
        <w:spacing w:line="360" w:lineRule="auto"/>
        <w:ind w:firstLine="480" w:firstLineChars="200"/>
        <w:jc w:val="both"/>
        <w:rPr>
          <w:bCs/>
          <w:color w:val="000000"/>
          <w:sz w:val="24"/>
          <w:lang w:eastAsia="zh-CN"/>
        </w:rPr>
      </w:pPr>
      <w:r>
        <w:rPr>
          <w:bCs/>
          <w:color w:val="000000"/>
          <w:sz w:val="24"/>
          <w:lang w:eastAsia="zh-CN"/>
        </w:rPr>
        <w:t>二</w:t>
      </w:r>
      <w:r>
        <w:rPr>
          <w:rFonts w:hint="eastAsia"/>
          <w:bCs/>
          <w:color w:val="000000"/>
          <w:sz w:val="24"/>
          <w:lang w:eastAsia="zh-CN"/>
        </w:rPr>
        <w:t>、基金份额的冻结和解冻</w:t>
      </w:r>
    </w:p>
    <w:p w14:paraId="519F7A56">
      <w:pPr>
        <w:adjustRightInd w:val="0"/>
        <w:snapToGrid w:val="0"/>
        <w:spacing w:line="360" w:lineRule="auto"/>
        <w:ind w:firstLine="480"/>
        <w:rPr>
          <w:sz w:val="24"/>
          <w:szCs w:val="24"/>
          <w:lang w:eastAsia="zh-CN"/>
        </w:rPr>
      </w:pPr>
      <w:r>
        <w:rPr>
          <w:rFonts w:hint="eastAsia"/>
          <w:sz w:val="24"/>
          <w:szCs w:val="24"/>
          <w:lang w:eastAsia="zh-CN"/>
        </w:rPr>
        <w:t>基金登记机构只受理国家有权机关依法要求的基金份额的冻结与解冻，以及登记机构认可、符合法律法规的其他情况下的冻结与解冻。基金份额被冻结的，被冻结部分产生的权益一并冻结，被冻结部分份额仍然参与收益分配与支付。法律法规另有规定的除外。</w:t>
      </w:r>
    </w:p>
    <w:p w14:paraId="253A57BF">
      <w:pPr>
        <w:spacing w:line="360" w:lineRule="auto"/>
        <w:ind w:firstLine="480" w:firstLineChars="200"/>
        <w:jc w:val="both"/>
        <w:rPr>
          <w:bCs/>
          <w:color w:val="000000"/>
          <w:sz w:val="24"/>
          <w:lang w:eastAsia="zh-CN"/>
        </w:rPr>
      </w:pPr>
      <w:r>
        <w:rPr>
          <w:bCs/>
          <w:color w:val="000000"/>
          <w:sz w:val="24"/>
          <w:lang w:eastAsia="zh-CN"/>
        </w:rPr>
        <w:t>三</w:t>
      </w:r>
      <w:r>
        <w:rPr>
          <w:rFonts w:hint="eastAsia"/>
          <w:bCs/>
          <w:color w:val="000000"/>
          <w:sz w:val="24"/>
          <w:lang w:eastAsia="zh-CN"/>
        </w:rPr>
        <w:t>、</w:t>
      </w:r>
      <w:r>
        <w:rPr>
          <w:bCs/>
          <w:color w:val="000000"/>
          <w:sz w:val="24"/>
          <w:lang w:eastAsia="zh-CN"/>
        </w:rPr>
        <w:t>基金的非交易过户</w:t>
      </w:r>
    </w:p>
    <w:p w14:paraId="47690705">
      <w:pPr>
        <w:adjustRightInd w:val="0"/>
        <w:snapToGrid w:val="0"/>
        <w:spacing w:line="360" w:lineRule="auto"/>
        <w:ind w:firstLine="480" w:firstLineChars="200"/>
        <w:rPr>
          <w:color w:val="000000"/>
          <w:sz w:val="24"/>
          <w:szCs w:val="24"/>
          <w:lang w:eastAsia="zh-CN"/>
        </w:rPr>
      </w:pPr>
      <w:r>
        <w:rPr>
          <w:color w:val="000000"/>
          <w:sz w:val="24"/>
          <w:szCs w:val="24"/>
          <w:lang w:eastAsia="zh-CN"/>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14:paraId="62C02925">
      <w:pPr>
        <w:adjustRightInd w:val="0"/>
        <w:snapToGrid w:val="0"/>
        <w:spacing w:line="360" w:lineRule="auto"/>
        <w:ind w:firstLine="480" w:firstLineChars="200"/>
        <w:rPr>
          <w:color w:val="000000"/>
          <w:sz w:val="24"/>
          <w:szCs w:val="24"/>
          <w:lang w:eastAsia="zh-CN"/>
        </w:rPr>
      </w:pPr>
      <w:r>
        <w:rPr>
          <w:color w:val="000000"/>
          <w:sz w:val="24"/>
          <w:szCs w:val="24"/>
          <w:lang w:eastAsia="zh-CN"/>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bookmarkEnd w:id="54"/>
    <w:p w14:paraId="10546563">
      <w:pPr>
        <w:adjustRightInd w:val="0"/>
        <w:snapToGrid w:val="0"/>
        <w:spacing w:line="360" w:lineRule="auto"/>
        <w:ind w:firstLine="480" w:firstLineChars="200"/>
        <w:rPr>
          <w:color w:val="000000"/>
          <w:sz w:val="24"/>
          <w:szCs w:val="24"/>
          <w:lang w:eastAsia="zh-CN"/>
        </w:rPr>
      </w:pPr>
    </w:p>
    <w:p w14:paraId="525A158D">
      <w:pPr>
        <w:adjustRightInd w:val="0"/>
        <w:snapToGrid w:val="0"/>
        <w:spacing w:line="360" w:lineRule="auto"/>
        <w:ind w:firstLine="480" w:firstLineChars="200"/>
        <w:rPr>
          <w:color w:val="000000"/>
          <w:sz w:val="24"/>
          <w:szCs w:val="24"/>
          <w:lang w:eastAsia="zh-CN"/>
        </w:rPr>
      </w:pPr>
    </w:p>
    <w:p w14:paraId="0993EFA4">
      <w:pPr>
        <w:adjustRightInd w:val="0"/>
        <w:snapToGrid w:val="0"/>
        <w:spacing w:line="360" w:lineRule="auto"/>
        <w:ind w:firstLine="480" w:firstLineChars="200"/>
        <w:rPr>
          <w:color w:val="000000"/>
          <w:sz w:val="24"/>
          <w:szCs w:val="24"/>
          <w:lang w:eastAsia="zh-CN"/>
        </w:rPr>
      </w:pPr>
    </w:p>
    <w:p w14:paraId="0B7EDE05">
      <w:pPr>
        <w:adjustRightInd w:val="0"/>
        <w:snapToGrid w:val="0"/>
        <w:spacing w:line="360" w:lineRule="auto"/>
        <w:ind w:firstLine="480" w:firstLineChars="200"/>
        <w:rPr>
          <w:color w:val="000000"/>
          <w:sz w:val="24"/>
          <w:szCs w:val="24"/>
          <w:lang w:eastAsia="zh-CN"/>
        </w:rPr>
      </w:pPr>
    </w:p>
    <w:p w14:paraId="12A67789">
      <w:pPr>
        <w:adjustRightInd w:val="0"/>
        <w:snapToGrid w:val="0"/>
        <w:spacing w:line="360" w:lineRule="auto"/>
        <w:ind w:firstLine="480" w:firstLineChars="200"/>
        <w:rPr>
          <w:color w:val="000000"/>
          <w:sz w:val="24"/>
          <w:szCs w:val="24"/>
          <w:lang w:eastAsia="zh-CN"/>
        </w:rPr>
      </w:pPr>
    </w:p>
    <w:p w14:paraId="4F694B9F">
      <w:pPr>
        <w:adjustRightInd w:val="0"/>
        <w:snapToGrid w:val="0"/>
        <w:spacing w:line="360" w:lineRule="auto"/>
        <w:ind w:firstLine="480" w:firstLineChars="200"/>
        <w:rPr>
          <w:color w:val="000000"/>
          <w:sz w:val="24"/>
          <w:szCs w:val="24"/>
          <w:lang w:eastAsia="zh-CN"/>
        </w:rPr>
      </w:pPr>
    </w:p>
    <w:p w14:paraId="455814A7">
      <w:pPr>
        <w:adjustRightInd w:val="0"/>
        <w:snapToGrid w:val="0"/>
        <w:spacing w:line="360" w:lineRule="auto"/>
        <w:ind w:firstLine="480" w:firstLineChars="200"/>
        <w:rPr>
          <w:color w:val="000000"/>
          <w:sz w:val="24"/>
          <w:szCs w:val="24"/>
          <w:lang w:eastAsia="zh-CN"/>
        </w:rPr>
      </w:pPr>
    </w:p>
    <w:bookmarkEnd w:id="55"/>
    <w:p w14:paraId="5B967E17">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56" w:name="_bookmark11"/>
      <w:bookmarkEnd w:id="56"/>
      <w:bookmarkStart w:id="57" w:name="_Toc69831249"/>
      <w:r>
        <w:rPr>
          <w:rFonts w:ascii="Times New Roman" w:hAnsi="Times New Roman" w:cs="Times New Roman"/>
          <w:b/>
          <w:szCs w:val="20"/>
          <w:lang w:eastAsia="zh-CN" w:bidi="ar-SA"/>
        </w:rPr>
        <w:t>第</w:t>
      </w:r>
      <w:r>
        <w:rPr>
          <w:rFonts w:hint="eastAsia" w:ascii="Times New Roman" w:hAnsi="Times New Roman" w:cs="Times New Roman"/>
          <w:b/>
          <w:szCs w:val="20"/>
          <w:lang w:eastAsia="zh-CN" w:bidi="ar-SA"/>
        </w:rPr>
        <w:t>十一</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基金的投资</w:t>
      </w:r>
      <w:bookmarkEnd w:id="57"/>
    </w:p>
    <w:p w14:paraId="78759E95">
      <w:pPr>
        <w:spacing w:line="360" w:lineRule="auto"/>
        <w:ind w:firstLine="480" w:firstLineChars="200"/>
        <w:rPr>
          <w:bCs/>
          <w:color w:val="000000"/>
          <w:sz w:val="24"/>
          <w:lang w:eastAsia="zh-CN"/>
        </w:rPr>
      </w:pPr>
    </w:p>
    <w:p w14:paraId="31C4C596">
      <w:pPr>
        <w:spacing w:line="360" w:lineRule="auto"/>
        <w:ind w:firstLine="480" w:firstLineChars="200"/>
        <w:rPr>
          <w:bCs/>
          <w:sz w:val="24"/>
          <w:lang w:eastAsia="zh-CN"/>
        </w:rPr>
      </w:pPr>
      <w:bookmarkStart w:id="58" w:name="_Hlk88079454"/>
      <w:bookmarkStart w:id="59" w:name="_Hlk97498039"/>
      <w:r>
        <w:rPr>
          <w:bCs/>
          <w:sz w:val="24"/>
          <w:lang w:eastAsia="zh-CN"/>
        </w:rPr>
        <w:t>一、投资目标</w:t>
      </w:r>
    </w:p>
    <w:p w14:paraId="418EB0F8">
      <w:pPr>
        <w:spacing w:line="360" w:lineRule="auto"/>
        <w:ind w:firstLine="480" w:firstLineChars="200"/>
        <w:rPr>
          <w:bCs/>
          <w:sz w:val="24"/>
          <w:lang w:eastAsia="zh-CN"/>
        </w:rPr>
      </w:pPr>
      <w:r>
        <w:rPr>
          <w:rFonts w:hint="eastAsia"/>
          <w:bCs/>
          <w:sz w:val="24"/>
          <w:lang w:eastAsia="zh-CN"/>
        </w:rPr>
        <w:t>本基金在严格控制投资组合风险的前提下，力争为基金份额持有人获取超越业绩比较基准的投资回报。</w:t>
      </w:r>
    </w:p>
    <w:p w14:paraId="46EE09E1">
      <w:pPr>
        <w:spacing w:line="360" w:lineRule="auto"/>
        <w:ind w:firstLine="480" w:firstLineChars="200"/>
        <w:rPr>
          <w:bCs/>
          <w:sz w:val="24"/>
          <w:lang w:eastAsia="zh-CN"/>
        </w:rPr>
      </w:pPr>
      <w:r>
        <w:rPr>
          <w:bCs/>
          <w:sz w:val="24"/>
          <w:lang w:eastAsia="zh-CN"/>
        </w:rPr>
        <w:t>二、投资范围</w:t>
      </w:r>
    </w:p>
    <w:p w14:paraId="67A8C496">
      <w:pPr>
        <w:spacing w:line="360" w:lineRule="auto"/>
        <w:ind w:firstLine="480"/>
        <w:rPr>
          <w:bCs/>
          <w:sz w:val="24"/>
          <w:lang w:eastAsia="zh-CN"/>
        </w:rPr>
      </w:pPr>
      <w:r>
        <w:rPr>
          <w:bCs/>
          <w:sz w:val="24"/>
          <w:lang w:eastAsia="zh-CN"/>
        </w:rPr>
        <w:t>本基金的投资范围</w:t>
      </w:r>
      <w:r>
        <w:rPr>
          <w:rFonts w:hint="eastAsia"/>
          <w:bCs/>
          <w:sz w:val="24"/>
          <w:lang w:eastAsia="zh-CN"/>
        </w:rPr>
        <w:t>主要</w:t>
      </w:r>
      <w:r>
        <w:rPr>
          <w:bCs/>
          <w:sz w:val="24"/>
          <w:lang w:eastAsia="zh-CN"/>
        </w:rPr>
        <w:t>为具有良好流动性的金融工具，包括债券</w:t>
      </w:r>
      <w:r>
        <w:rPr>
          <w:rFonts w:hint="eastAsia"/>
          <w:bCs/>
          <w:sz w:val="24"/>
          <w:lang w:eastAsia="zh-CN"/>
        </w:rPr>
        <w:t>（国债、政策性金融债、地方政府债、金融债、央行票据等）、债券回购、同业存单、银行存款（包括协议存款、定期存款及其他银行存款）、现金</w:t>
      </w:r>
      <w:r>
        <w:rPr>
          <w:bCs/>
          <w:sz w:val="24"/>
          <w:lang w:eastAsia="zh-CN"/>
        </w:rPr>
        <w:t>以及法律法规或中国证监会允许基金投资的其他金融工具（但须符合中国证监会相关规定）。</w:t>
      </w:r>
    </w:p>
    <w:p w14:paraId="3C05EAD2">
      <w:pPr>
        <w:spacing w:line="360" w:lineRule="auto"/>
        <w:ind w:firstLine="480"/>
        <w:rPr>
          <w:bCs/>
          <w:sz w:val="24"/>
          <w:lang w:eastAsia="zh-CN"/>
        </w:rPr>
      </w:pPr>
      <w:r>
        <w:rPr>
          <w:rFonts w:hint="eastAsia"/>
          <w:bCs/>
          <w:sz w:val="24"/>
          <w:lang w:eastAsia="zh-CN"/>
        </w:rPr>
        <w:t>本基金不投资股票、可转换债券、可交换债券。</w:t>
      </w:r>
    </w:p>
    <w:p w14:paraId="03B4D7E4">
      <w:pPr>
        <w:spacing w:line="360" w:lineRule="auto"/>
        <w:ind w:firstLine="480"/>
        <w:rPr>
          <w:bCs/>
          <w:lang w:eastAsia="zh-CN"/>
        </w:rPr>
      </w:pPr>
      <w:r>
        <w:rPr>
          <w:bCs/>
          <w:sz w:val="24"/>
          <w:lang w:eastAsia="zh-CN"/>
        </w:rPr>
        <w:t>如法律法规或监管机构以后允许基金投资其他品种，基金管理人在履行适当程序后，可以将其纳入投资范围。</w:t>
      </w:r>
    </w:p>
    <w:p w14:paraId="196C648E">
      <w:pPr>
        <w:spacing w:line="360" w:lineRule="auto"/>
        <w:ind w:firstLine="480"/>
        <w:rPr>
          <w:bCs/>
          <w:sz w:val="24"/>
          <w:lang w:eastAsia="zh-CN"/>
        </w:rPr>
      </w:pPr>
      <w:r>
        <w:rPr>
          <w:bCs/>
          <w:sz w:val="24"/>
          <w:lang w:eastAsia="zh-CN"/>
        </w:rPr>
        <w:t>基金的投资组合比例为：</w:t>
      </w:r>
      <w:r>
        <w:rPr>
          <w:rFonts w:hint="eastAsia"/>
          <w:bCs/>
          <w:sz w:val="24"/>
          <w:lang w:eastAsia="zh-CN"/>
        </w:rPr>
        <w:t>本基金对债券的投资比例不低于基金资产的80%，但应开放期流动性需要，为保护基金份额持有人利益，在每次开放期开始前10个工作日、开放期及开放期结束后10个工作日的期间内，基金投资不受上述比例限制。在开放期内，本基金持有的现金（不包括结算备付金、存出保证金、应收申购款等）或者到期日在一年以内的政府债券不低于基金资产净值的5%，在封闭期本基金不受前述5%的限制。</w:t>
      </w:r>
    </w:p>
    <w:p w14:paraId="36160FAC">
      <w:pPr>
        <w:spacing w:line="360" w:lineRule="auto"/>
        <w:ind w:firstLine="480" w:firstLineChars="200"/>
        <w:rPr>
          <w:bCs/>
          <w:sz w:val="24"/>
          <w:lang w:eastAsia="zh-CN"/>
        </w:rPr>
      </w:pPr>
      <w:r>
        <w:rPr>
          <w:bCs/>
          <w:sz w:val="24"/>
          <w:lang w:eastAsia="zh-CN"/>
        </w:rPr>
        <w:t>三、投资策略</w:t>
      </w:r>
    </w:p>
    <w:p w14:paraId="3F705070">
      <w:pPr>
        <w:spacing w:line="360" w:lineRule="auto"/>
        <w:ind w:firstLine="480" w:firstLineChars="200"/>
        <w:rPr>
          <w:bCs/>
          <w:sz w:val="24"/>
        </w:rPr>
      </w:pPr>
      <w:r>
        <w:rPr>
          <w:rFonts w:hint="eastAsia"/>
          <w:bCs/>
          <w:sz w:val="24"/>
        </w:rPr>
        <w:t>（一）封闭期</w:t>
      </w:r>
      <w:r>
        <w:rPr>
          <w:bCs/>
          <w:sz w:val="24"/>
        </w:rPr>
        <w:t>投资</w:t>
      </w:r>
      <w:r>
        <w:rPr>
          <w:rFonts w:hint="eastAsia"/>
          <w:bCs/>
          <w:sz w:val="24"/>
        </w:rPr>
        <w:t>策略</w:t>
      </w:r>
    </w:p>
    <w:p w14:paraId="0840210E">
      <w:pPr>
        <w:spacing w:line="360" w:lineRule="auto"/>
        <w:ind w:firstLine="480" w:firstLineChars="200"/>
        <w:rPr>
          <w:rFonts w:ascii="宋体" w:hAnsi="宋体"/>
          <w:sz w:val="24"/>
        </w:rPr>
      </w:pPr>
      <w:r>
        <w:rPr>
          <w:rFonts w:hint="eastAsia" w:ascii="宋体" w:hAnsi="宋体"/>
          <w:sz w:val="24"/>
        </w:rPr>
        <w:t>本基金通过综合分析国内外宏观经济运行状况和金融市场运行趋势等因素，根据整体资产配置策略动态调整大类金融资产的比例；在充分分析债券市场环境及市场流动性的基础上，决定组合的久期水平、期限结构和类属配置，并在此基础之上实施积极的债券投资组合管理，以获取较高的投资收益。</w:t>
      </w:r>
    </w:p>
    <w:p w14:paraId="7B6F9924">
      <w:pPr>
        <w:spacing w:line="360" w:lineRule="auto"/>
        <w:ind w:firstLine="480" w:firstLineChars="200"/>
        <w:rPr>
          <w:rFonts w:ascii="宋体" w:hAnsi="宋体"/>
          <w:sz w:val="24"/>
        </w:rPr>
      </w:pPr>
      <w:r>
        <w:rPr>
          <w:rFonts w:hint="eastAsia" w:ascii="宋体" w:hAnsi="宋体"/>
          <w:sz w:val="24"/>
        </w:rPr>
        <w:t>1、债券资产配置策略</w:t>
      </w:r>
    </w:p>
    <w:p w14:paraId="367090B6">
      <w:pPr>
        <w:spacing w:line="360" w:lineRule="auto"/>
        <w:ind w:firstLine="480" w:firstLineChars="200"/>
        <w:rPr>
          <w:rFonts w:ascii="宋体" w:hAnsi="宋体"/>
          <w:sz w:val="24"/>
        </w:rPr>
      </w:pPr>
      <w:r>
        <w:rPr>
          <w:rFonts w:hint="eastAsia" w:ascii="宋体" w:hAnsi="宋体"/>
          <w:sz w:val="24"/>
        </w:rPr>
        <w:t>在宏观经济趋势研究、货币及财政政策趋势研究的基础上，以中长期利率趋势分析和债券市场供求关系研究为核心，自上而下地决定债券组合久期、动态调整各类金融资产比例，结合收益率水平曲线形态分析和类属资产相对估值分析，优化债券组合的期限结构和类属配置。</w:t>
      </w:r>
    </w:p>
    <w:p w14:paraId="53E9ED10">
      <w:pPr>
        <w:spacing w:line="360" w:lineRule="auto"/>
        <w:ind w:firstLine="480" w:firstLineChars="200"/>
        <w:rPr>
          <w:rFonts w:ascii="宋体" w:hAnsi="宋体"/>
          <w:sz w:val="24"/>
        </w:rPr>
      </w:pPr>
      <w:r>
        <w:rPr>
          <w:rFonts w:hint="eastAsia" w:ascii="宋体" w:hAnsi="宋体"/>
          <w:sz w:val="24"/>
        </w:rPr>
        <w:t>（1）久期配置</w:t>
      </w:r>
    </w:p>
    <w:p w14:paraId="2E882F89">
      <w:pPr>
        <w:spacing w:line="360" w:lineRule="auto"/>
        <w:ind w:firstLine="480" w:firstLineChars="200"/>
        <w:rPr>
          <w:rFonts w:ascii="宋体" w:hAnsi="宋体"/>
          <w:sz w:val="24"/>
        </w:rPr>
      </w:pPr>
      <w:r>
        <w:rPr>
          <w:rFonts w:hint="eastAsia" w:ascii="宋体" w:hAnsi="宋体"/>
          <w:sz w:val="24"/>
        </w:rPr>
        <w:t>基金管理人将通过积极主动地预测市场利率的变动趋势，相应调整债券组合的久期配置，以达到提高债券组合收益、降低债券组合利率风险的目的。在确定债券组合久期的过程中，基金管理人将在判断市场利率波动趋势的基础上，根据债券市场收益率曲线的当前形态，通过合理假设下的情景分析和压力测试，最后确定最优的债券组合久期。</w:t>
      </w:r>
    </w:p>
    <w:p w14:paraId="58476765">
      <w:pPr>
        <w:spacing w:line="360" w:lineRule="auto"/>
        <w:ind w:firstLine="480" w:firstLineChars="200"/>
        <w:rPr>
          <w:rFonts w:ascii="宋体" w:hAnsi="宋体"/>
          <w:sz w:val="24"/>
        </w:rPr>
      </w:pPr>
      <w:r>
        <w:rPr>
          <w:rFonts w:hint="eastAsia" w:ascii="宋体" w:hAnsi="宋体"/>
          <w:sz w:val="24"/>
        </w:rPr>
        <w:t>根据对市场利率变化趋势的预期，可适当调整组合久期，预期市场利率水平将上升时，适当降低组合久期；预期市场利率将下降时，适当提高组合久期。</w:t>
      </w:r>
    </w:p>
    <w:p w14:paraId="0E5DA36C">
      <w:pPr>
        <w:spacing w:line="360" w:lineRule="auto"/>
        <w:ind w:firstLine="480" w:firstLineChars="200"/>
        <w:rPr>
          <w:rFonts w:ascii="宋体" w:hAnsi="宋体"/>
          <w:sz w:val="24"/>
        </w:rPr>
      </w:pPr>
      <w:r>
        <w:rPr>
          <w:rFonts w:hint="eastAsia" w:ascii="宋体" w:hAnsi="宋体"/>
          <w:sz w:val="24"/>
        </w:rPr>
        <w:t>（2）期限结构配置</w:t>
      </w:r>
    </w:p>
    <w:p w14:paraId="53955233">
      <w:pPr>
        <w:spacing w:line="360" w:lineRule="auto"/>
        <w:ind w:firstLine="480" w:firstLineChars="200"/>
        <w:rPr>
          <w:rFonts w:ascii="宋体" w:hAnsi="宋体"/>
          <w:sz w:val="24"/>
        </w:rPr>
      </w:pPr>
      <w:r>
        <w:rPr>
          <w:rFonts w:hint="eastAsia" w:ascii="宋体" w:hAnsi="宋体"/>
          <w:sz w:val="24"/>
        </w:rPr>
        <w:t>对同一类属收益率曲线形态和期限结构变动进行分析，在给定组合久期以及其它组合约束条件的情形下，通过建立债券组合优化数量模型，确定最优的期限结构。</w:t>
      </w:r>
    </w:p>
    <w:p w14:paraId="3FF6E89F">
      <w:pPr>
        <w:spacing w:line="360" w:lineRule="auto"/>
        <w:ind w:firstLine="480" w:firstLineChars="200"/>
        <w:rPr>
          <w:rFonts w:ascii="宋体" w:hAnsi="宋体"/>
          <w:sz w:val="24"/>
        </w:rPr>
      </w:pPr>
      <w:r>
        <w:rPr>
          <w:rFonts w:hint="eastAsia" w:ascii="宋体" w:hAnsi="宋体"/>
          <w:sz w:val="24"/>
        </w:rPr>
        <w:t>（3）类属配置</w:t>
      </w:r>
    </w:p>
    <w:p w14:paraId="3B132FB2">
      <w:pPr>
        <w:spacing w:line="360" w:lineRule="auto"/>
        <w:ind w:firstLine="480" w:firstLineChars="200"/>
        <w:rPr>
          <w:rFonts w:ascii="宋体" w:hAnsi="宋体"/>
          <w:sz w:val="24"/>
        </w:rPr>
      </w:pPr>
      <w:r>
        <w:rPr>
          <w:rFonts w:hint="eastAsia" w:ascii="宋体" w:hAnsi="宋体"/>
          <w:sz w:val="24"/>
        </w:rPr>
        <w:t>对不同类型固定收益品种的利率风险、流动性等因素进行分析，研究各类型投资品种的利差和变化趋势，制定债券类属配置策略，以获取不同债券类属之间利差变化所带来的投资收益。</w:t>
      </w:r>
    </w:p>
    <w:p w14:paraId="20C6F0AD">
      <w:pPr>
        <w:spacing w:line="360" w:lineRule="auto"/>
        <w:ind w:firstLine="480" w:firstLineChars="200"/>
        <w:rPr>
          <w:rFonts w:ascii="宋体" w:hAnsi="宋体"/>
          <w:sz w:val="24"/>
        </w:rPr>
      </w:pPr>
      <w:r>
        <w:rPr>
          <w:rFonts w:hint="eastAsia" w:ascii="宋体" w:hAnsi="宋体"/>
          <w:sz w:val="24"/>
        </w:rPr>
        <w:t>2、信用类固定收益类证券的投资策略</w:t>
      </w:r>
    </w:p>
    <w:p w14:paraId="2772236E">
      <w:pPr>
        <w:spacing w:line="360" w:lineRule="auto"/>
        <w:ind w:firstLine="480" w:firstLineChars="200"/>
        <w:rPr>
          <w:rFonts w:ascii="宋体" w:hAnsi="宋体"/>
          <w:sz w:val="24"/>
        </w:rPr>
      </w:pPr>
      <w:r>
        <w:rPr>
          <w:rFonts w:hint="eastAsia" w:ascii="宋体" w:hAnsi="宋体"/>
          <w:sz w:val="24"/>
        </w:rPr>
        <w:t>信用品种收益率的主要影响因素为利率品种基准收益与信用利差。信用利差是信用产品相对于国债、央行票据等利率产品获取较高收益的来源，主要受两方面的影响：一是债券所对应的信用等级的市场平均信用利差水平，另一方面为发行人本身的信用状况。</w:t>
      </w:r>
    </w:p>
    <w:p w14:paraId="2DBF89AD">
      <w:pPr>
        <w:spacing w:line="360" w:lineRule="auto"/>
        <w:ind w:firstLine="480" w:firstLineChars="200"/>
        <w:rPr>
          <w:rFonts w:ascii="宋体" w:hAnsi="宋体"/>
          <w:sz w:val="24"/>
        </w:rPr>
      </w:pPr>
      <w:r>
        <w:rPr>
          <w:rFonts w:hint="eastAsia" w:ascii="宋体" w:hAnsi="宋体"/>
          <w:sz w:val="24"/>
        </w:rPr>
        <w:t>信用债市场整体的信用利差水平和信用债发行主体自身信用状况的变化都会对信用债个券的利差水平产生重要影响。信用利差方面，本基金将从经济周期、国家政策、行业景气度和债券市场的供求状况等多方面考量信用利差的整体变化趋势。发债主体信用状况方面，本基金采取内部评级与外部评级相结合的办法，对所持债券面临的信用风险进行综合评估。获取数据不仅限于经营和财务数据，同时看重外部支持和公司内部治理结构。本基金对进入债券库中的信用债券通过内部信用评级，运用定性和定量相结合、动态和静态相结合的方法，建立相应的债券库。具体操作上，采用指标定量打分制，对债券发行人进行综合打分评级，并动态跟踪债券发行人的状况，建立相应预警指标，及时对信用债券库进行更新维护。同时，本基金结合适度分散的投资策略，适时调整投资组合，降低信用债券投资的信用风险。</w:t>
      </w:r>
    </w:p>
    <w:p w14:paraId="17A3CEBE">
      <w:pPr>
        <w:spacing w:line="360" w:lineRule="auto"/>
        <w:ind w:firstLine="480" w:firstLineChars="200"/>
        <w:rPr>
          <w:rFonts w:ascii="宋体" w:hAnsi="宋体"/>
          <w:sz w:val="24"/>
        </w:rPr>
      </w:pPr>
      <w:r>
        <w:rPr>
          <w:rFonts w:hint="eastAsia" w:ascii="宋体" w:hAnsi="宋体"/>
          <w:sz w:val="24"/>
        </w:rPr>
        <w:t>为控制信用风险，基金管理人将根据国家有权机构批准或认可的信用评级机构提供的信用评级，并主要依靠内部评级系统分析信用债的相对信用水平、违约风险及理论信用利差。</w:t>
      </w:r>
    </w:p>
    <w:p w14:paraId="4F73B230">
      <w:pPr>
        <w:spacing w:line="360" w:lineRule="auto"/>
        <w:ind w:firstLine="480" w:firstLineChars="200"/>
        <w:rPr>
          <w:rFonts w:hint="eastAsia" w:ascii="宋体" w:hAnsi="宋体" w:eastAsia="宋体"/>
          <w:sz w:val="24"/>
          <w:lang w:val="en-US" w:eastAsia="zh-CN"/>
        </w:rPr>
      </w:pPr>
      <w:r>
        <w:rPr>
          <w:rFonts w:hint="eastAsia" w:ascii="宋体" w:hAnsi="宋体"/>
          <w:sz w:val="24"/>
        </w:rPr>
        <w:t>本基金主动投资的信用债为信用评级在AA+级（含）以上的信用债，对信用评级的认定参照基金管理人选定的评级机构出具的信用评级，其中，信用债的信用评级依照评级机构出具的债项信用评级，若无债项信用评级的，依照其主体信用评级。</w:t>
      </w:r>
      <w:r>
        <w:rPr>
          <w:rFonts w:hint="eastAsia" w:ascii="宋体" w:hAnsi="宋体"/>
          <w:sz w:val="24"/>
          <w:lang w:val="en-US" w:eastAsia="zh-CN"/>
        </w:rPr>
        <w:t>本基金投资于信用债，基金</w:t>
      </w:r>
      <w:r>
        <w:rPr>
          <w:rFonts w:ascii="宋体" w:hAnsi="宋体"/>
          <w:bCs/>
          <w:sz w:val="24"/>
        </w:rPr>
        <w:t>资产</w:t>
      </w:r>
      <w:r>
        <w:rPr>
          <w:rFonts w:hint="eastAsia" w:ascii="宋体" w:hAnsi="宋体"/>
          <w:bCs/>
          <w:sz w:val="24"/>
        </w:rPr>
        <w:t>总值不</w:t>
      </w:r>
      <w:r>
        <w:rPr>
          <w:rFonts w:ascii="宋体" w:hAnsi="宋体"/>
          <w:bCs/>
          <w:sz w:val="24"/>
        </w:rPr>
        <w:t>超过基金资产</w:t>
      </w:r>
      <w:r>
        <w:rPr>
          <w:rFonts w:hint="eastAsia" w:ascii="宋体" w:hAnsi="宋体"/>
          <w:bCs/>
          <w:sz w:val="24"/>
        </w:rPr>
        <w:t>净值</w:t>
      </w:r>
      <w:r>
        <w:rPr>
          <w:rFonts w:hint="eastAsia" w:ascii="宋体" w:hAnsi="宋体"/>
          <w:bCs/>
          <w:sz w:val="24"/>
          <w:lang w:val="en-US" w:eastAsia="zh-CN"/>
        </w:rPr>
        <w:t>14</w:t>
      </w:r>
      <w:r>
        <w:rPr>
          <w:rFonts w:hint="eastAsia" w:ascii="宋体" w:hAnsi="宋体"/>
          <w:bCs/>
          <w:sz w:val="24"/>
        </w:rPr>
        <w:t>0%</w:t>
      </w:r>
      <w:r>
        <w:rPr>
          <w:rFonts w:hint="eastAsia" w:ascii="宋体" w:hAnsi="宋体"/>
          <w:sz w:val="24"/>
          <w:lang w:val="en-US" w:eastAsia="zh-CN"/>
        </w:rPr>
        <w:t>（含封闭期内），本基金投资于评级AAA以下的信用债，基金</w:t>
      </w:r>
      <w:r>
        <w:rPr>
          <w:rFonts w:hint="eastAsia" w:ascii="宋体" w:hAnsi="宋体"/>
          <w:bCs/>
          <w:sz w:val="24"/>
          <w:lang w:val="en-US" w:eastAsia="zh-CN"/>
        </w:rPr>
        <w:t>不开展融资回购</w:t>
      </w:r>
      <w:r>
        <w:rPr>
          <w:rFonts w:hint="eastAsia" w:ascii="宋体" w:hAnsi="宋体"/>
          <w:bCs/>
          <w:sz w:val="24"/>
          <w:lang w:eastAsia="zh-CN"/>
        </w:rPr>
        <w:t>。</w:t>
      </w:r>
    </w:p>
    <w:p w14:paraId="28883682">
      <w:pPr>
        <w:spacing w:line="360" w:lineRule="auto"/>
        <w:ind w:firstLine="480" w:firstLineChars="200"/>
        <w:rPr>
          <w:rFonts w:ascii="宋体" w:hAnsi="宋体"/>
          <w:sz w:val="24"/>
        </w:rPr>
      </w:pPr>
      <w:r>
        <w:rPr>
          <w:rFonts w:hint="eastAsia" w:ascii="宋体" w:hAnsi="宋体"/>
          <w:sz w:val="24"/>
        </w:rPr>
        <w:t>本基金投资于评级AA+的信用债比例不高于信用债资产的50%，投资于评级AAA的信用债比例不低于信用债资产的50%。因信用评级下降、证券市场波动、基金规模变动等基金管理人之外的因素致使基金投资比例不符合上述规定的，基金管理人应当在评级报告发布之日或不符合上述规定之日起3个月内予以全部卖出或完成调整。</w:t>
      </w:r>
    </w:p>
    <w:p w14:paraId="346732D3">
      <w:pPr>
        <w:spacing w:line="360" w:lineRule="auto"/>
        <w:ind w:firstLine="480" w:firstLineChars="200"/>
        <w:rPr>
          <w:rFonts w:ascii="宋体" w:hAnsi="宋体"/>
          <w:sz w:val="24"/>
        </w:rPr>
      </w:pPr>
      <w:r>
        <w:rPr>
          <w:rFonts w:ascii="宋体" w:hAnsi="宋体"/>
          <w:sz w:val="24"/>
        </w:rPr>
        <w:t>3</w:t>
      </w:r>
      <w:r>
        <w:rPr>
          <w:rFonts w:hint="eastAsia" w:ascii="宋体" w:hAnsi="宋体"/>
          <w:sz w:val="24"/>
        </w:rPr>
        <w:t>、息差策略</w:t>
      </w:r>
    </w:p>
    <w:p w14:paraId="726EE383">
      <w:pPr>
        <w:spacing w:line="360" w:lineRule="auto"/>
        <w:ind w:firstLine="480" w:firstLineChars="200"/>
        <w:rPr>
          <w:rFonts w:ascii="宋体" w:hAnsi="宋体"/>
          <w:sz w:val="24"/>
        </w:rPr>
      </w:pPr>
      <w:r>
        <w:rPr>
          <w:rFonts w:hint="eastAsia" w:ascii="宋体" w:hAnsi="宋体"/>
          <w:sz w:val="24"/>
        </w:rPr>
        <w:t>利用回购等方式融入低成本资金，购买较高收益的债券，以期获取超额收益的操作方式。</w:t>
      </w:r>
    </w:p>
    <w:p w14:paraId="7758B6EE">
      <w:pPr>
        <w:spacing w:line="360" w:lineRule="auto"/>
        <w:ind w:firstLine="480" w:firstLineChars="200"/>
        <w:rPr>
          <w:rFonts w:ascii="宋体" w:hAnsi="宋体"/>
          <w:sz w:val="24"/>
        </w:rPr>
      </w:pPr>
      <w:r>
        <w:rPr>
          <w:rFonts w:ascii="宋体" w:hAnsi="宋体"/>
          <w:sz w:val="24"/>
        </w:rPr>
        <w:t>4</w:t>
      </w:r>
      <w:r>
        <w:rPr>
          <w:rFonts w:hint="eastAsia" w:ascii="宋体" w:hAnsi="宋体"/>
          <w:sz w:val="24"/>
        </w:rPr>
        <w:t>、互换策略</w:t>
      </w:r>
    </w:p>
    <w:p w14:paraId="7E337633">
      <w:pPr>
        <w:spacing w:line="360" w:lineRule="auto"/>
        <w:ind w:firstLine="480" w:firstLineChars="200"/>
        <w:rPr>
          <w:rFonts w:ascii="宋体" w:hAnsi="宋体"/>
          <w:sz w:val="24"/>
        </w:rPr>
      </w:pPr>
      <w:r>
        <w:rPr>
          <w:rFonts w:hint="eastAsia" w:ascii="宋体" w:hAnsi="宋体"/>
          <w:sz w:val="24"/>
        </w:rPr>
        <w:t>不同券种在利息、违约风险、久期、流动性、税收和衍生条款等方面存在差别，基金管理人可以同时买入和卖出具有相近特性的两个或两个以上券种，赚取收益级差。</w:t>
      </w:r>
    </w:p>
    <w:p w14:paraId="4086A33F">
      <w:pPr>
        <w:spacing w:line="360" w:lineRule="auto"/>
        <w:ind w:firstLine="480" w:firstLineChars="200"/>
        <w:rPr>
          <w:rFonts w:ascii="宋体" w:hAnsi="宋体"/>
          <w:sz w:val="24"/>
        </w:rPr>
      </w:pPr>
      <w:r>
        <w:rPr>
          <w:rFonts w:ascii="宋体" w:hAnsi="宋体"/>
          <w:sz w:val="24"/>
        </w:rPr>
        <w:t>5</w:t>
      </w:r>
      <w:r>
        <w:rPr>
          <w:rFonts w:hint="eastAsia" w:ascii="宋体" w:hAnsi="宋体"/>
          <w:sz w:val="24"/>
        </w:rPr>
        <w:t>、回购策略</w:t>
      </w:r>
    </w:p>
    <w:p w14:paraId="29C5998F">
      <w:pPr>
        <w:spacing w:line="360" w:lineRule="auto"/>
        <w:ind w:firstLine="480" w:firstLineChars="200"/>
        <w:rPr>
          <w:bCs/>
          <w:sz w:val="24"/>
        </w:rPr>
      </w:pPr>
      <w:r>
        <w:rPr>
          <w:rFonts w:hint="eastAsia" w:ascii="宋体" w:hAnsi="宋体"/>
          <w:sz w:val="24"/>
        </w:rPr>
        <w:t>本基金在基础组合的基础上，使用基础组合持有的债券进行回购融入短期资金滚动操作，投资于收益率高于融资成本的其它获利机会，从而获得杠杆放大收益。</w:t>
      </w:r>
    </w:p>
    <w:p w14:paraId="45B0370D">
      <w:pPr>
        <w:spacing w:line="360" w:lineRule="auto"/>
        <w:ind w:firstLine="480" w:firstLineChars="200"/>
        <w:rPr>
          <w:rFonts w:ascii="宋体" w:hAnsi="宋体"/>
          <w:sz w:val="24"/>
        </w:rPr>
      </w:pPr>
      <w:r>
        <w:rPr>
          <w:rFonts w:ascii="宋体" w:hAnsi="宋体"/>
          <w:sz w:val="24"/>
        </w:rPr>
        <w:t>6</w:t>
      </w:r>
      <w:r>
        <w:rPr>
          <w:rFonts w:hint="eastAsia" w:ascii="宋体" w:hAnsi="宋体"/>
          <w:sz w:val="24"/>
        </w:rPr>
        <w:t>、流动性管理策略</w:t>
      </w:r>
    </w:p>
    <w:p w14:paraId="45FFCD4B">
      <w:pPr>
        <w:spacing w:line="360" w:lineRule="auto"/>
        <w:ind w:firstLine="480" w:firstLineChars="200"/>
        <w:rPr>
          <w:rFonts w:ascii="宋体" w:hAnsi="宋体"/>
          <w:sz w:val="24"/>
        </w:rPr>
      </w:pPr>
      <w:r>
        <w:rPr>
          <w:rFonts w:hint="eastAsia" w:ascii="宋体" w:hAnsi="宋体"/>
          <w:sz w:val="24"/>
        </w:rPr>
        <w:t>考虑到本基金</w:t>
      </w:r>
      <w:r>
        <w:rPr>
          <w:rFonts w:hint="eastAsia"/>
          <w:bCs/>
          <w:sz w:val="24"/>
        </w:rPr>
        <w:t>封闭运作和开放运作交替循环的情形</w:t>
      </w:r>
      <w:r>
        <w:rPr>
          <w:rFonts w:hint="eastAsia" w:ascii="宋体" w:hAnsi="宋体"/>
          <w:sz w:val="24"/>
        </w:rPr>
        <w:t>，对投资组合进行流动性管理，确保基金资产的变现能力。</w:t>
      </w:r>
    </w:p>
    <w:p w14:paraId="0C672E8E">
      <w:pPr>
        <w:spacing w:line="360" w:lineRule="auto"/>
        <w:ind w:firstLine="480" w:firstLineChars="200"/>
        <w:rPr>
          <w:bCs/>
          <w:sz w:val="24"/>
        </w:rPr>
      </w:pPr>
      <w:r>
        <w:rPr>
          <w:rFonts w:hint="eastAsia"/>
          <w:bCs/>
          <w:sz w:val="24"/>
        </w:rPr>
        <w:t>（二）开放期投资策略</w:t>
      </w:r>
    </w:p>
    <w:p w14:paraId="515DDA31">
      <w:pPr>
        <w:spacing w:line="360" w:lineRule="auto"/>
        <w:ind w:firstLine="480" w:firstLineChars="200"/>
        <w:rPr>
          <w:bCs/>
          <w:lang w:eastAsia="zh-CN"/>
        </w:rPr>
      </w:pPr>
      <w:r>
        <w:rPr>
          <w:rFonts w:hint="eastAsia" w:ascii="宋体" w:hAnsi="宋体" w:eastAsia="宋体"/>
          <w:bCs/>
          <w:sz w:val="24"/>
        </w:rPr>
        <w:t>开放期内，本基金为保持较高的组合流动性，方便投资人安排投资，在遵守本基金有关投资限制与投资比例的前提下，将主要投资于高流动性的投资品种，防范流动性风险，满足开放期的流动性需求。同时，基金管理人将密切关注基金的申购赎回情况，对投资组合的现金比例进行结构化管理。也会通过回购的滚动操作和债券品种的期限结构搭配，有效分配基金的现金流，保持本基金在开放期的流动性，方便投资人安排投资。</w:t>
      </w:r>
    </w:p>
    <w:p w14:paraId="47394796">
      <w:pPr>
        <w:spacing w:line="360" w:lineRule="auto"/>
        <w:ind w:firstLine="480" w:firstLineChars="200"/>
        <w:rPr>
          <w:bCs/>
          <w:sz w:val="24"/>
          <w:lang w:eastAsia="zh-CN"/>
        </w:rPr>
      </w:pPr>
      <w:r>
        <w:rPr>
          <w:bCs/>
          <w:sz w:val="24"/>
          <w:lang w:eastAsia="zh-CN"/>
        </w:rPr>
        <w:t>四、投资限制</w:t>
      </w:r>
    </w:p>
    <w:p w14:paraId="4B04BE60">
      <w:pPr>
        <w:spacing w:line="360" w:lineRule="auto"/>
        <w:ind w:firstLine="480" w:firstLineChars="200"/>
        <w:rPr>
          <w:bCs/>
          <w:sz w:val="24"/>
          <w:lang w:eastAsia="zh-CN"/>
        </w:rPr>
      </w:pPr>
      <w:r>
        <w:rPr>
          <w:bCs/>
          <w:sz w:val="24"/>
          <w:lang w:eastAsia="zh-CN"/>
        </w:rPr>
        <w:t>1、组合限制</w:t>
      </w:r>
    </w:p>
    <w:p w14:paraId="1653DF72">
      <w:pPr>
        <w:spacing w:line="360" w:lineRule="auto"/>
        <w:ind w:firstLine="480" w:firstLineChars="200"/>
        <w:rPr>
          <w:bCs/>
          <w:sz w:val="24"/>
          <w:lang w:eastAsia="zh-CN"/>
        </w:rPr>
      </w:pPr>
      <w:r>
        <w:rPr>
          <w:bCs/>
          <w:sz w:val="24"/>
          <w:lang w:eastAsia="zh-CN"/>
        </w:rPr>
        <w:t>基金的投资组合应遵循以下限制：</w:t>
      </w:r>
    </w:p>
    <w:p w14:paraId="62C2616D">
      <w:pPr>
        <w:spacing w:line="360" w:lineRule="auto"/>
        <w:ind w:firstLine="480" w:firstLineChars="200"/>
        <w:rPr>
          <w:bCs/>
          <w:sz w:val="24"/>
          <w:lang w:eastAsia="zh-CN"/>
        </w:rPr>
      </w:pPr>
      <w:r>
        <w:rPr>
          <w:bCs/>
          <w:sz w:val="24"/>
          <w:lang w:eastAsia="zh-CN"/>
        </w:rPr>
        <w:t>（1）</w:t>
      </w:r>
      <w:r>
        <w:rPr>
          <w:rFonts w:hint="eastAsia"/>
          <w:bCs/>
          <w:sz w:val="24"/>
          <w:lang w:eastAsia="zh-CN"/>
        </w:rPr>
        <w:t>本基金对债券的投资比例不低于基金资产的80%，但应开放期流动性需要，为保护基金份额持有人利益，在每次开放期开始前10个工作日、开放期及开放期结束后10个工作日的期间内，基金投资不受上述比例限制</w:t>
      </w:r>
      <w:r>
        <w:rPr>
          <w:bCs/>
          <w:sz w:val="24"/>
          <w:lang w:eastAsia="zh-CN"/>
        </w:rPr>
        <w:t>；</w:t>
      </w:r>
    </w:p>
    <w:p w14:paraId="6E858C98">
      <w:pPr>
        <w:spacing w:line="360" w:lineRule="auto"/>
        <w:ind w:firstLine="480" w:firstLineChars="200"/>
        <w:rPr>
          <w:bCs/>
          <w:sz w:val="24"/>
          <w:lang w:eastAsia="zh-CN"/>
        </w:rPr>
      </w:pPr>
      <w:r>
        <w:rPr>
          <w:bCs/>
          <w:sz w:val="24"/>
          <w:lang w:eastAsia="zh-CN"/>
        </w:rPr>
        <w:t>（</w:t>
      </w:r>
      <w:r>
        <w:rPr>
          <w:rFonts w:hint="eastAsia"/>
          <w:bCs/>
          <w:sz w:val="24"/>
          <w:lang w:eastAsia="zh-CN"/>
        </w:rPr>
        <w:t>2</w:t>
      </w:r>
      <w:r>
        <w:rPr>
          <w:bCs/>
          <w:sz w:val="24"/>
          <w:lang w:eastAsia="zh-CN"/>
        </w:rPr>
        <w:t>）</w:t>
      </w:r>
      <w:r>
        <w:rPr>
          <w:rFonts w:hint="eastAsia"/>
          <w:bCs/>
          <w:sz w:val="24"/>
          <w:lang w:eastAsia="zh-CN"/>
        </w:rPr>
        <w:t>开放期内，</w:t>
      </w:r>
      <w:r>
        <w:rPr>
          <w:bCs/>
          <w:sz w:val="24"/>
          <w:lang w:eastAsia="zh-CN"/>
        </w:rPr>
        <w:t>保持不低于基金资产净值</w:t>
      </w:r>
      <w:r>
        <w:rPr>
          <w:rFonts w:hint="eastAsia"/>
          <w:bCs/>
          <w:sz w:val="24"/>
          <w:lang w:eastAsia="zh-CN"/>
        </w:rPr>
        <w:t>5%</w:t>
      </w:r>
      <w:r>
        <w:rPr>
          <w:bCs/>
          <w:sz w:val="24"/>
          <w:lang w:eastAsia="zh-CN"/>
        </w:rPr>
        <w:t>的现金或者到期日在一年以内的政府债券</w:t>
      </w:r>
      <w:r>
        <w:rPr>
          <w:rFonts w:hint="eastAsia"/>
          <w:bCs/>
          <w:sz w:val="24"/>
          <w:lang w:eastAsia="zh-CN"/>
        </w:rPr>
        <w:t>，在封闭期内，本基金不受上述5%的限制；</w:t>
      </w:r>
      <w:r>
        <w:rPr>
          <w:bCs/>
          <w:sz w:val="24"/>
          <w:lang w:eastAsia="zh-CN"/>
        </w:rPr>
        <w:t>其中现金不包括结算备付金、存出保证金和应收申购款等；</w:t>
      </w:r>
    </w:p>
    <w:p w14:paraId="48969553">
      <w:pPr>
        <w:spacing w:line="360" w:lineRule="auto"/>
        <w:ind w:firstLine="480" w:firstLineChars="200"/>
        <w:rPr>
          <w:bCs/>
          <w:sz w:val="24"/>
          <w:lang w:eastAsia="zh-CN"/>
        </w:rPr>
      </w:pPr>
      <w:r>
        <w:rPr>
          <w:bCs/>
          <w:sz w:val="24"/>
          <w:lang w:eastAsia="zh-CN"/>
        </w:rPr>
        <w:t>（</w:t>
      </w:r>
      <w:r>
        <w:rPr>
          <w:rFonts w:hint="eastAsia"/>
          <w:bCs/>
          <w:sz w:val="24"/>
          <w:lang w:eastAsia="zh-CN"/>
        </w:rPr>
        <w:t>3</w:t>
      </w:r>
      <w:r>
        <w:rPr>
          <w:bCs/>
          <w:sz w:val="24"/>
          <w:lang w:eastAsia="zh-CN"/>
        </w:rPr>
        <w:t>）本基金持有一家公司</w:t>
      </w:r>
      <w:r>
        <w:rPr>
          <w:rFonts w:hint="eastAsia"/>
          <w:bCs/>
          <w:sz w:val="24"/>
          <w:lang w:eastAsia="zh-CN"/>
        </w:rPr>
        <w:t>发行</w:t>
      </w:r>
      <w:r>
        <w:rPr>
          <w:bCs/>
          <w:sz w:val="24"/>
          <w:lang w:eastAsia="zh-CN"/>
        </w:rPr>
        <w:t>的</w:t>
      </w:r>
      <w:r>
        <w:rPr>
          <w:rFonts w:hint="eastAsia"/>
          <w:bCs/>
          <w:sz w:val="24"/>
          <w:lang w:eastAsia="zh-CN"/>
        </w:rPr>
        <w:t>证券</w:t>
      </w:r>
      <w:r>
        <w:rPr>
          <w:bCs/>
          <w:sz w:val="24"/>
          <w:lang w:eastAsia="zh-CN"/>
        </w:rPr>
        <w:t>，其市值不超过基金资产净值的10%；</w:t>
      </w:r>
    </w:p>
    <w:p w14:paraId="5326D05C">
      <w:pPr>
        <w:spacing w:line="360" w:lineRule="auto"/>
        <w:ind w:firstLine="480" w:firstLineChars="200"/>
        <w:rPr>
          <w:bCs/>
          <w:sz w:val="24"/>
          <w:lang w:eastAsia="zh-CN"/>
        </w:rPr>
      </w:pPr>
      <w:r>
        <w:rPr>
          <w:bCs/>
          <w:sz w:val="24"/>
          <w:lang w:eastAsia="zh-CN"/>
        </w:rPr>
        <w:t>（</w:t>
      </w:r>
      <w:r>
        <w:rPr>
          <w:rFonts w:hint="eastAsia"/>
          <w:bCs/>
          <w:sz w:val="24"/>
          <w:lang w:eastAsia="zh-CN"/>
        </w:rPr>
        <w:t>4</w:t>
      </w:r>
      <w:r>
        <w:rPr>
          <w:bCs/>
          <w:sz w:val="24"/>
          <w:lang w:eastAsia="zh-CN"/>
        </w:rPr>
        <w:t>）本基金管理人管理的全部基金持有一家公司发行的证券，不超过该证券的10%；</w:t>
      </w:r>
    </w:p>
    <w:p w14:paraId="36421AF0">
      <w:pPr>
        <w:spacing w:line="360" w:lineRule="auto"/>
        <w:ind w:firstLine="480" w:firstLineChars="200"/>
        <w:rPr>
          <w:bCs/>
          <w:sz w:val="24"/>
          <w:lang w:eastAsia="zh-CN"/>
        </w:rPr>
      </w:pPr>
      <w:r>
        <w:rPr>
          <w:bCs/>
          <w:sz w:val="24"/>
          <w:lang w:eastAsia="zh-CN"/>
        </w:rPr>
        <w:t>（</w:t>
      </w:r>
      <w:r>
        <w:rPr>
          <w:rFonts w:hint="eastAsia"/>
          <w:bCs/>
          <w:sz w:val="24"/>
          <w:lang w:eastAsia="zh-CN"/>
        </w:rPr>
        <w:t>5</w:t>
      </w:r>
      <w:r>
        <w:rPr>
          <w:bCs/>
          <w:sz w:val="24"/>
          <w:lang w:eastAsia="zh-CN"/>
        </w:rPr>
        <w:t>）本基金</w:t>
      </w:r>
      <w:r>
        <w:rPr>
          <w:rFonts w:hint="eastAsia"/>
          <w:bCs/>
          <w:sz w:val="24"/>
          <w:lang w:eastAsia="zh-CN"/>
        </w:rPr>
        <w:t>进入全国银行间同业市场进行债券回购的最长期限为1年，债券回购到期后不得展期</w:t>
      </w:r>
      <w:r>
        <w:rPr>
          <w:bCs/>
          <w:sz w:val="24"/>
          <w:lang w:eastAsia="zh-CN"/>
        </w:rPr>
        <w:t>；</w:t>
      </w:r>
    </w:p>
    <w:p w14:paraId="1BE33D21">
      <w:pPr>
        <w:spacing w:line="360" w:lineRule="auto"/>
        <w:ind w:firstLine="480" w:firstLineChars="200"/>
        <w:rPr>
          <w:bCs/>
          <w:sz w:val="24"/>
          <w:lang w:eastAsia="zh-CN"/>
        </w:rPr>
      </w:pPr>
      <w:r>
        <w:rPr>
          <w:bCs/>
          <w:sz w:val="24"/>
          <w:lang w:eastAsia="zh-CN"/>
        </w:rPr>
        <w:t>（6）</w:t>
      </w:r>
      <w:r>
        <w:rPr>
          <w:rFonts w:hint="eastAsia"/>
          <w:bCs/>
          <w:sz w:val="24"/>
          <w:lang w:eastAsia="zh-CN"/>
        </w:rPr>
        <w:t>封闭期内，本</w:t>
      </w:r>
      <w:r>
        <w:rPr>
          <w:bCs/>
          <w:sz w:val="24"/>
          <w:lang w:eastAsia="zh-CN"/>
        </w:rPr>
        <w:t>基金资产</w:t>
      </w:r>
      <w:r>
        <w:rPr>
          <w:rFonts w:hint="eastAsia"/>
          <w:bCs/>
          <w:sz w:val="24"/>
          <w:lang w:eastAsia="zh-CN"/>
        </w:rPr>
        <w:t>总值不得</w:t>
      </w:r>
      <w:r>
        <w:rPr>
          <w:bCs/>
          <w:sz w:val="24"/>
          <w:lang w:eastAsia="zh-CN"/>
        </w:rPr>
        <w:t>超过基金资产</w:t>
      </w:r>
      <w:r>
        <w:rPr>
          <w:rFonts w:hint="eastAsia"/>
          <w:bCs/>
          <w:sz w:val="24"/>
          <w:lang w:eastAsia="zh-CN"/>
        </w:rPr>
        <w:t>净值</w:t>
      </w:r>
      <w:r>
        <w:rPr>
          <w:bCs/>
          <w:sz w:val="24"/>
          <w:lang w:eastAsia="zh-CN"/>
        </w:rPr>
        <w:t>的</w:t>
      </w:r>
      <w:r>
        <w:rPr>
          <w:rFonts w:hint="eastAsia"/>
          <w:bCs/>
          <w:sz w:val="24"/>
          <w:lang w:eastAsia="zh-CN"/>
        </w:rPr>
        <w:t>200%；开放期内，</w:t>
      </w:r>
      <w:r>
        <w:rPr>
          <w:bCs/>
          <w:sz w:val="24"/>
          <w:lang w:eastAsia="zh-CN"/>
        </w:rPr>
        <w:t>本基金资产总值不超过基金资产净值的140%</w:t>
      </w:r>
      <w:r>
        <w:rPr>
          <w:rFonts w:hint="eastAsia"/>
          <w:bCs/>
          <w:sz w:val="24"/>
          <w:lang w:eastAsia="zh-CN"/>
        </w:rPr>
        <w:t>；</w:t>
      </w:r>
    </w:p>
    <w:p w14:paraId="0CC202A5">
      <w:pPr>
        <w:spacing w:line="360" w:lineRule="auto"/>
        <w:ind w:firstLine="480" w:firstLineChars="200"/>
        <w:rPr>
          <w:bCs/>
          <w:sz w:val="24"/>
          <w:lang w:eastAsia="zh-CN"/>
        </w:rPr>
      </w:pPr>
      <w:r>
        <w:rPr>
          <w:bCs/>
          <w:sz w:val="24"/>
          <w:lang w:eastAsia="zh-CN"/>
        </w:rPr>
        <w:t>（7）</w:t>
      </w:r>
      <w:r>
        <w:rPr>
          <w:rFonts w:hint="eastAsia"/>
          <w:bCs/>
          <w:sz w:val="24"/>
          <w:lang w:eastAsia="zh-CN"/>
        </w:rPr>
        <w:t>开放期内，</w:t>
      </w:r>
      <w:r>
        <w:rPr>
          <w:bCs/>
          <w:sz w:val="24"/>
          <w:lang w:eastAsia="zh-CN"/>
        </w:rPr>
        <w:t>本基金主动投资于流动性受限资产的市值合计不得超过该基金资产净值的15%；因证券市场波动、基金规模变动等基金管理人之外的因素致使基金不符合该比例限制的，基金管理人不得主动新增流动性受限资产的投资；</w:t>
      </w:r>
    </w:p>
    <w:p w14:paraId="78B348EC">
      <w:pPr>
        <w:spacing w:line="360" w:lineRule="auto"/>
        <w:ind w:firstLine="480" w:firstLineChars="200"/>
        <w:rPr>
          <w:bCs/>
          <w:sz w:val="24"/>
          <w:lang w:eastAsia="zh-CN"/>
        </w:rPr>
      </w:pPr>
      <w:r>
        <w:rPr>
          <w:bCs/>
          <w:sz w:val="24"/>
          <w:lang w:eastAsia="zh-CN"/>
        </w:rPr>
        <w:t>（8）本基金与私募类证券资管产品及中国证监会认定的其他主体为交易对手开展逆回购交易的，可接受质押品的资质要求应当与基金合同约定的投资范围保持一致；</w:t>
      </w:r>
    </w:p>
    <w:p w14:paraId="22B5D5AC">
      <w:pPr>
        <w:spacing w:line="360" w:lineRule="auto"/>
        <w:ind w:firstLine="480" w:firstLineChars="200"/>
        <w:rPr>
          <w:bCs/>
          <w:sz w:val="24"/>
          <w:lang w:eastAsia="zh-CN"/>
        </w:rPr>
      </w:pPr>
      <w:r>
        <w:rPr>
          <w:bCs/>
          <w:sz w:val="24"/>
          <w:lang w:eastAsia="zh-CN"/>
        </w:rPr>
        <w:t>（9）</w:t>
      </w:r>
      <w:r>
        <w:rPr>
          <w:rFonts w:hint="eastAsia"/>
          <w:bCs/>
          <w:sz w:val="24"/>
          <w:lang w:eastAsia="zh-CN"/>
        </w:rPr>
        <w:t>法律法规及中国证监会规定的和《基金合同》约定的其他投资限制。</w:t>
      </w:r>
    </w:p>
    <w:p w14:paraId="610D51D5">
      <w:pPr>
        <w:spacing w:line="360" w:lineRule="auto"/>
        <w:ind w:firstLine="480" w:firstLineChars="200"/>
        <w:rPr>
          <w:bCs/>
          <w:lang w:eastAsia="zh-CN"/>
        </w:rPr>
      </w:pPr>
      <w:r>
        <w:rPr>
          <w:bCs/>
          <w:sz w:val="24"/>
          <w:lang w:eastAsia="zh-CN"/>
        </w:rPr>
        <w:t>除上述（2）、（7）、（8）情形之外，因证券市场波动、</w:t>
      </w:r>
      <w:r>
        <w:rPr>
          <w:rFonts w:hint="eastAsia"/>
          <w:bCs/>
          <w:sz w:val="24"/>
          <w:lang w:eastAsia="zh-CN"/>
        </w:rPr>
        <w:t>证券发行人</w:t>
      </w:r>
      <w:r>
        <w:rPr>
          <w:bCs/>
          <w:sz w:val="24"/>
          <w:lang w:eastAsia="zh-CN"/>
        </w:rPr>
        <w:t>合并、基金规模变动等基金管理人之外的因素致使基金投资比例不符合上述规定投资比例的，基金管理人应当在10个交易日内进行调整</w:t>
      </w:r>
      <w:r>
        <w:rPr>
          <w:rFonts w:hint="eastAsia"/>
          <w:bCs/>
          <w:sz w:val="24"/>
          <w:lang w:eastAsia="zh-CN"/>
        </w:rPr>
        <w:t>，</w:t>
      </w:r>
      <w:r>
        <w:rPr>
          <w:bCs/>
          <w:sz w:val="24"/>
          <w:lang w:eastAsia="zh-CN"/>
        </w:rPr>
        <w:t>但中国证监会规定的特殊情形除外。</w:t>
      </w:r>
    </w:p>
    <w:p w14:paraId="6F579044">
      <w:pPr>
        <w:spacing w:line="360" w:lineRule="auto"/>
        <w:ind w:firstLine="480" w:firstLineChars="200"/>
        <w:rPr>
          <w:bCs/>
          <w:sz w:val="24"/>
          <w:lang w:eastAsia="zh-CN"/>
        </w:rPr>
      </w:pPr>
      <w:r>
        <w:rPr>
          <w:bCs/>
          <w:sz w:val="24"/>
          <w:lang w:eastAsia="zh-CN"/>
        </w:rPr>
        <w:t>基金管理人应当自基金合同生效之日起</w:t>
      </w:r>
      <w:r>
        <w:rPr>
          <w:rFonts w:hint="eastAsia"/>
          <w:bCs/>
          <w:sz w:val="24"/>
          <w:lang w:eastAsia="zh-CN"/>
        </w:rPr>
        <w:t>6</w:t>
      </w:r>
      <w:r>
        <w:rPr>
          <w:bCs/>
          <w:sz w:val="24"/>
          <w:lang w:eastAsia="zh-CN"/>
        </w:rPr>
        <w:t>个月内使基金的投资组合比例符合基金合同的有关约定。在上述期间内，本基金的投资范围、投资策略应当符合基金合同的约定。基金托管人对基金的投资的监督与检查自基金合同生效之日起开始。</w:t>
      </w:r>
    </w:p>
    <w:p w14:paraId="778C97C2">
      <w:pPr>
        <w:spacing w:line="360" w:lineRule="auto"/>
        <w:ind w:firstLine="480" w:firstLineChars="200"/>
        <w:rPr>
          <w:bCs/>
          <w:sz w:val="24"/>
          <w:lang w:eastAsia="zh-CN"/>
        </w:rPr>
      </w:pPr>
      <w:r>
        <w:rPr>
          <w:rFonts w:hint="eastAsia"/>
          <w:bCs/>
          <w:sz w:val="24"/>
          <w:lang w:eastAsia="zh-CN"/>
        </w:rPr>
        <w:t>如果法律法规或监管部门对上述投资组合比例限制进行变更的，则本基金投资以变更后的规定为准。</w:t>
      </w:r>
      <w:r>
        <w:rPr>
          <w:bCs/>
          <w:sz w:val="24"/>
          <w:lang w:eastAsia="zh-CN"/>
        </w:rPr>
        <w:t>法律法规或监管部门取消上述限制，如适用于本基金，基金管理人</w:t>
      </w:r>
      <w:r>
        <w:rPr>
          <w:rFonts w:hint="eastAsia"/>
          <w:bCs/>
          <w:sz w:val="24"/>
          <w:lang w:eastAsia="zh-CN"/>
        </w:rPr>
        <w:t>在</w:t>
      </w:r>
      <w:r>
        <w:rPr>
          <w:bCs/>
          <w:sz w:val="24"/>
          <w:lang w:eastAsia="zh-CN"/>
        </w:rPr>
        <w:t>履行适当程序后，则本基金投资不再受相关限制。</w:t>
      </w:r>
    </w:p>
    <w:p w14:paraId="0DC38102">
      <w:pPr>
        <w:spacing w:line="360" w:lineRule="auto"/>
        <w:ind w:firstLine="480" w:firstLineChars="200"/>
        <w:rPr>
          <w:bCs/>
          <w:sz w:val="24"/>
          <w:lang w:eastAsia="zh-CN"/>
        </w:rPr>
      </w:pPr>
      <w:r>
        <w:rPr>
          <w:bCs/>
          <w:sz w:val="24"/>
          <w:lang w:eastAsia="zh-CN"/>
        </w:rPr>
        <w:t>2</w:t>
      </w:r>
      <w:r>
        <w:rPr>
          <w:rFonts w:hint="eastAsia"/>
          <w:bCs/>
          <w:sz w:val="24"/>
          <w:lang w:eastAsia="zh-CN"/>
        </w:rPr>
        <w:t>、</w:t>
      </w:r>
      <w:r>
        <w:rPr>
          <w:bCs/>
          <w:sz w:val="24"/>
          <w:lang w:eastAsia="zh-CN"/>
        </w:rPr>
        <w:t>禁止行为</w:t>
      </w:r>
    </w:p>
    <w:p w14:paraId="15BF6E5C">
      <w:pPr>
        <w:spacing w:line="360" w:lineRule="auto"/>
        <w:ind w:firstLine="480" w:firstLineChars="200"/>
        <w:rPr>
          <w:bCs/>
          <w:sz w:val="24"/>
          <w:lang w:eastAsia="zh-CN"/>
        </w:rPr>
      </w:pPr>
      <w:r>
        <w:rPr>
          <w:bCs/>
          <w:sz w:val="24"/>
          <w:lang w:eastAsia="zh-CN"/>
        </w:rPr>
        <w:t>为维护基金份额持有人的合法权益，基金财产不得用于下列投资或者活动：</w:t>
      </w:r>
    </w:p>
    <w:p w14:paraId="1527A96C">
      <w:pPr>
        <w:spacing w:line="360" w:lineRule="auto"/>
        <w:ind w:firstLine="480" w:firstLineChars="200"/>
        <w:rPr>
          <w:bCs/>
          <w:sz w:val="24"/>
          <w:lang w:eastAsia="zh-CN"/>
        </w:rPr>
      </w:pPr>
      <w:r>
        <w:rPr>
          <w:bCs/>
          <w:sz w:val="24"/>
          <w:lang w:eastAsia="zh-CN"/>
        </w:rPr>
        <w:t>（1）承销证券；</w:t>
      </w:r>
    </w:p>
    <w:p w14:paraId="100E9BA4">
      <w:pPr>
        <w:spacing w:line="360" w:lineRule="auto"/>
        <w:ind w:firstLine="480" w:firstLineChars="200"/>
        <w:rPr>
          <w:bCs/>
          <w:sz w:val="24"/>
          <w:lang w:eastAsia="zh-CN"/>
        </w:rPr>
      </w:pPr>
      <w:r>
        <w:rPr>
          <w:bCs/>
          <w:sz w:val="24"/>
          <w:lang w:eastAsia="zh-CN"/>
        </w:rPr>
        <w:t>（</w:t>
      </w:r>
      <w:r>
        <w:rPr>
          <w:rFonts w:hint="eastAsia"/>
          <w:bCs/>
          <w:sz w:val="24"/>
          <w:lang w:eastAsia="zh-CN"/>
        </w:rPr>
        <w:t>2</w:t>
      </w:r>
      <w:r>
        <w:rPr>
          <w:bCs/>
          <w:sz w:val="24"/>
          <w:lang w:eastAsia="zh-CN"/>
        </w:rPr>
        <w:t>）</w:t>
      </w:r>
      <w:r>
        <w:rPr>
          <w:rFonts w:hint="eastAsia"/>
          <w:bCs/>
          <w:sz w:val="24"/>
          <w:lang w:eastAsia="zh-CN"/>
        </w:rPr>
        <w:t>违反规定</w:t>
      </w:r>
      <w:r>
        <w:rPr>
          <w:bCs/>
          <w:sz w:val="24"/>
          <w:lang w:eastAsia="zh-CN"/>
        </w:rPr>
        <w:t>向他人贷款或者提供担保；</w:t>
      </w:r>
    </w:p>
    <w:p w14:paraId="67D3FA1F">
      <w:pPr>
        <w:spacing w:line="360" w:lineRule="auto"/>
        <w:ind w:firstLine="480" w:firstLineChars="200"/>
        <w:rPr>
          <w:bCs/>
          <w:sz w:val="24"/>
          <w:lang w:eastAsia="zh-CN"/>
        </w:rPr>
      </w:pPr>
      <w:r>
        <w:rPr>
          <w:bCs/>
          <w:sz w:val="24"/>
          <w:lang w:eastAsia="zh-CN"/>
        </w:rPr>
        <w:t>（</w:t>
      </w:r>
      <w:r>
        <w:rPr>
          <w:rFonts w:hint="eastAsia"/>
          <w:bCs/>
          <w:sz w:val="24"/>
          <w:lang w:eastAsia="zh-CN"/>
        </w:rPr>
        <w:t>3</w:t>
      </w:r>
      <w:r>
        <w:rPr>
          <w:bCs/>
          <w:sz w:val="24"/>
          <w:lang w:eastAsia="zh-CN"/>
        </w:rPr>
        <w:t>）从事承担无限责任的投资；</w:t>
      </w:r>
    </w:p>
    <w:p w14:paraId="3DFED60E">
      <w:pPr>
        <w:spacing w:line="360" w:lineRule="auto"/>
        <w:ind w:firstLine="480" w:firstLineChars="200"/>
        <w:rPr>
          <w:bCs/>
          <w:sz w:val="24"/>
          <w:lang w:eastAsia="zh-CN"/>
        </w:rPr>
      </w:pPr>
      <w:r>
        <w:rPr>
          <w:bCs/>
          <w:sz w:val="24"/>
          <w:lang w:eastAsia="zh-CN"/>
        </w:rPr>
        <w:t>（</w:t>
      </w:r>
      <w:r>
        <w:rPr>
          <w:rFonts w:hint="eastAsia"/>
          <w:bCs/>
          <w:sz w:val="24"/>
          <w:lang w:eastAsia="zh-CN"/>
        </w:rPr>
        <w:t>4</w:t>
      </w:r>
      <w:r>
        <w:rPr>
          <w:bCs/>
          <w:sz w:val="24"/>
          <w:lang w:eastAsia="zh-CN"/>
        </w:rPr>
        <w:t>）买卖其他基金份额，但是</w:t>
      </w:r>
      <w:r>
        <w:rPr>
          <w:rFonts w:hint="eastAsia"/>
          <w:bCs/>
          <w:sz w:val="24"/>
          <w:lang w:eastAsia="zh-CN"/>
        </w:rPr>
        <w:t>中国证监会</w:t>
      </w:r>
      <w:r>
        <w:rPr>
          <w:bCs/>
          <w:sz w:val="24"/>
          <w:lang w:eastAsia="zh-CN"/>
        </w:rPr>
        <w:t>另有规定的除外；</w:t>
      </w:r>
    </w:p>
    <w:p w14:paraId="3A9499D0">
      <w:pPr>
        <w:spacing w:line="360" w:lineRule="auto"/>
        <w:ind w:firstLine="480" w:firstLineChars="200"/>
        <w:rPr>
          <w:bCs/>
          <w:sz w:val="24"/>
          <w:lang w:eastAsia="zh-CN"/>
        </w:rPr>
      </w:pPr>
      <w:r>
        <w:rPr>
          <w:bCs/>
          <w:sz w:val="24"/>
          <w:lang w:eastAsia="zh-CN"/>
        </w:rPr>
        <w:t>（</w:t>
      </w:r>
      <w:r>
        <w:rPr>
          <w:rFonts w:hint="eastAsia"/>
          <w:bCs/>
          <w:sz w:val="24"/>
          <w:lang w:eastAsia="zh-CN"/>
        </w:rPr>
        <w:t>5</w:t>
      </w:r>
      <w:r>
        <w:rPr>
          <w:bCs/>
          <w:sz w:val="24"/>
          <w:lang w:eastAsia="zh-CN"/>
        </w:rPr>
        <w:t>）向其基金管理人、基金托管人出资；</w:t>
      </w:r>
    </w:p>
    <w:p w14:paraId="25CBC9F5">
      <w:pPr>
        <w:spacing w:line="360" w:lineRule="auto"/>
        <w:ind w:firstLine="480" w:firstLineChars="200"/>
        <w:rPr>
          <w:bCs/>
          <w:sz w:val="24"/>
          <w:lang w:eastAsia="zh-CN"/>
        </w:rPr>
      </w:pPr>
      <w:r>
        <w:rPr>
          <w:bCs/>
          <w:sz w:val="24"/>
          <w:lang w:eastAsia="zh-CN"/>
        </w:rPr>
        <w:t>（</w:t>
      </w:r>
      <w:r>
        <w:rPr>
          <w:rFonts w:hint="eastAsia"/>
          <w:bCs/>
          <w:sz w:val="24"/>
          <w:lang w:eastAsia="zh-CN"/>
        </w:rPr>
        <w:t>6</w:t>
      </w:r>
      <w:r>
        <w:rPr>
          <w:bCs/>
          <w:sz w:val="24"/>
          <w:lang w:eastAsia="zh-CN"/>
        </w:rPr>
        <w:t>）从事内幕交易、操纵证券交易价格及其他不正当的证券交易活动；</w:t>
      </w:r>
    </w:p>
    <w:p w14:paraId="14F9B457">
      <w:pPr>
        <w:spacing w:line="360" w:lineRule="auto"/>
        <w:ind w:firstLine="480" w:firstLineChars="200"/>
        <w:rPr>
          <w:bCs/>
          <w:sz w:val="24"/>
          <w:lang w:eastAsia="zh-CN"/>
        </w:rPr>
      </w:pPr>
      <w:r>
        <w:rPr>
          <w:bCs/>
          <w:sz w:val="24"/>
          <w:lang w:eastAsia="zh-CN"/>
        </w:rPr>
        <w:t>（</w:t>
      </w:r>
      <w:r>
        <w:rPr>
          <w:rFonts w:hint="eastAsia"/>
          <w:bCs/>
          <w:sz w:val="24"/>
          <w:lang w:eastAsia="zh-CN"/>
        </w:rPr>
        <w:t>7</w:t>
      </w:r>
      <w:r>
        <w:rPr>
          <w:bCs/>
          <w:sz w:val="24"/>
          <w:lang w:eastAsia="zh-CN"/>
        </w:rPr>
        <w:t>）法律</w:t>
      </w:r>
      <w:r>
        <w:rPr>
          <w:rFonts w:hint="eastAsia"/>
          <w:bCs/>
          <w:sz w:val="24"/>
          <w:lang w:eastAsia="zh-CN"/>
        </w:rPr>
        <w:t>、行政</w:t>
      </w:r>
      <w:r>
        <w:rPr>
          <w:bCs/>
          <w:sz w:val="24"/>
          <w:lang w:eastAsia="zh-CN"/>
        </w:rPr>
        <w:t>法规</w:t>
      </w:r>
      <w:r>
        <w:rPr>
          <w:rFonts w:hint="eastAsia"/>
          <w:bCs/>
          <w:sz w:val="24"/>
          <w:lang w:eastAsia="zh-CN"/>
        </w:rPr>
        <w:t>和</w:t>
      </w:r>
      <w:r>
        <w:rPr>
          <w:bCs/>
          <w:sz w:val="24"/>
          <w:lang w:eastAsia="zh-CN"/>
        </w:rPr>
        <w:t>中国证监会规定禁止的其他活动</w:t>
      </w:r>
      <w:r>
        <w:rPr>
          <w:rFonts w:hint="eastAsia"/>
          <w:bCs/>
          <w:sz w:val="24"/>
          <w:lang w:eastAsia="zh-CN"/>
        </w:rPr>
        <w:t>。</w:t>
      </w:r>
    </w:p>
    <w:p w14:paraId="30217239">
      <w:pPr>
        <w:spacing w:line="360" w:lineRule="auto"/>
        <w:ind w:firstLine="480" w:firstLineChars="200"/>
        <w:rPr>
          <w:bCs/>
          <w:sz w:val="24"/>
          <w:lang w:eastAsia="zh-CN"/>
        </w:rPr>
      </w:pPr>
      <w:r>
        <w:rPr>
          <w:bCs/>
          <w:sz w:val="24"/>
          <w:lang w:eastAsia="zh-CN"/>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A858169">
      <w:pPr>
        <w:spacing w:line="360" w:lineRule="auto"/>
        <w:ind w:firstLine="480" w:firstLineChars="200"/>
        <w:rPr>
          <w:bCs/>
          <w:sz w:val="24"/>
          <w:lang w:eastAsia="zh-CN"/>
        </w:rPr>
      </w:pPr>
      <w:r>
        <w:rPr>
          <w:rFonts w:hint="eastAsia"/>
          <w:bCs/>
          <w:sz w:val="24"/>
          <w:lang w:eastAsia="zh-CN"/>
        </w:rPr>
        <w:t>法律、行政法规或监管部门取消或变更上述禁止性或限制性规定，如适用于本基金，则基金管理人在履行适当程序后，本基金可不受上述规定的限制或以变更后的规定为准。</w:t>
      </w:r>
    </w:p>
    <w:p w14:paraId="2EF69CAE">
      <w:pPr>
        <w:spacing w:line="360" w:lineRule="auto"/>
        <w:ind w:firstLine="480" w:firstLineChars="200"/>
        <w:rPr>
          <w:bCs/>
          <w:sz w:val="24"/>
          <w:lang w:eastAsia="zh-CN"/>
        </w:rPr>
      </w:pPr>
      <w:r>
        <w:rPr>
          <w:bCs/>
          <w:sz w:val="24"/>
          <w:lang w:eastAsia="zh-CN"/>
        </w:rPr>
        <w:t>五、业绩比较基准</w:t>
      </w:r>
    </w:p>
    <w:p w14:paraId="4CB969AF">
      <w:pPr>
        <w:spacing w:line="360" w:lineRule="auto"/>
        <w:ind w:firstLine="480" w:firstLineChars="200"/>
        <w:rPr>
          <w:bCs/>
          <w:sz w:val="24"/>
          <w:lang w:eastAsia="zh-CN"/>
        </w:rPr>
      </w:pPr>
      <w:r>
        <w:rPr>
          <w:rFonts w:hint="eastAsia"/>
          <w:bCs/>
          <w:sz w:val="24"/>
          <w:lang w:eastAsia="zh-CN"/>
        </w:rPr>
        <w:t>本基金的业绩比较基准为：中债-国债及政策性银行债指数收益率*80%+一年期定期存款利率（税后）*20%。</w:t>
      </w:r>
    </w:p>
    <w:p w14:paraId="3EF0C79A">
      <w:pPr>
        <w:spacing w:line="360" w:lineRule="auto"/>
        <w:ind w:firstLine="480" w:firstLineChars="200"/>
        <w:rPr>
          <w:bCs/>
          <w:sz w:val="24"/>
          <w:lang w:eastAsia="zh-CN"/>
        </w:rPr>
      </w:pPr>
      <w:r>
        <w:rPr>
          <w:rFonts w:hint="eastAsia"/>
          <w:bCs/>
          <w:sz w:val="24"/>
          <w:lang w:eastAsia="zh-CN"/>
        </w:rPr>
        <w:t>根据基金的投资标的、投资目标及流动性特征，本基金选取中债-国债及政策性银行债指数作为本基金的业绩比较基准。中债-国债及政策性银行债指数隶属于中债总指数族，该指数成分券由在全国银行间债券市场上市且公开发行的国债和政策性银行债组成，适合作为本基金的业绩比较基准。</w:t>
      </w:r>
      <w:r>
        <w:rPr>
          <w:rFonts w:hint="eastAsia"/>
          <w:bCs/>
          <w:sz w:val="24"/>
          <w:szCs w:val="24"/>
          <w:lang w:eastAsia="zh-CN"/>
        </w:rPr>
        <w:t>本基金投资范围包括</w:t>
      </w:r>
      <w:r>
        <w:rPr>
          <w:rFonts w:hint="eastAsia"/>
          <w:sz w:val="24"/>
          <w:szCs w:val="24"/>
          <w:lang w:eastAsia="zh-CN"/>
        </w:rPr>
        <w:t>同业存单和金融债，适用一年期定期存款利率（税后）作为业绩比较基准。</w:t>
      </w:r>
    </w:p>
    <w:p w14:paraId="31DCCA09">
      <w:pPr>
        <w:spacing w:line="360" w:lineRule="auto"/>
        <w:ind w:firstLine="480" w:firstLineChars="200"/>
        <w:rPr>
          <w:bCs/>
          <w:sz w:val="24"/>
          <w:lang w:eastAsia="zh-CN"/>
        </w:rPr>
      </w:pPr>
      <w:r>
        <w:rPr>
          <w:rFonts w:hint="eastAsia"/>
          <w:bCs/>
          <w:sz w:val="24"/>
          <w:lang w:eastAsia="zh-CN"/>
        </w:rPr>
        <w:t>如果指数编制单位停止计算编制指数或更改指数名称，或者今后法律法规发生变化，或者有更权威的、更能为市场普遍接受的业绩比较基准推出，经与基金托管人协商一致，本基金可在报中国证监会备案后变更业绩比较基准并及时公告，无需召开基金份额持有人大会。</w:t>
      </w:r>
    </w:p>
    <w:p w14:paraId="2F74C1D1">
      <w:pPr>
        <w:spacing w:line="360" w:lineRule="auto"/>
        <w:ind w:firstLine="480" w:firstLineChars="200"/>
        <w:rPr>
          <w:bCs/>
          <w:sz w:val="24"/>
          <w:lang w:eastAsia="zh-CN"/>
        </w:rPr>
      </w:pPr>
      <w:r>
        <w:rPr>
          <w:bCs/>
          <w:sz w:val="24"/>
          <w:lang w:eastAsia="zh-CN"/>
        </w:rPr>
        <w:t>六、风险收益特征</w:t>
      </w:r>
    </w:p>
    <w:p w14:paraId="6390713D">
      <w:pPr>
        <w:spacing w:line="360" w:lineRule="auto"/>
        <w:ind w:firstLine="480" w:firstLineChars="200"/>
        <w:rPr>
          <w:bCs/>
          <w:sz w:val="24"/>
          <w:lang w:eastAsia="zh-CN"/>
        </w:rPr>
      </w:pPr>
      <w:r>
        <w:rPr>
          <w:rFonts w:hint="eastAsia"/>
          <w:bCs/>
          <w:sz w:val="24"/>
          <w:lang w:eastAsia="zh-CN"/>
        </w:rPr>
        <w:t>本基金为债券型基金，预期收益和预期风险高于货币市场基金，但低于混合型基金、股票型基金。</w:t>
      </w:r>
    </w:p>
    <w:p w14:paraId="363BB36C">
      <w:pPr>
        <w:spacing w:line="360" w:lineRule="auto"/>
        <w:ind w:firstLine="480" w:firstLineChars="200"/>
        <w:rPr>
          <w:bCs/>
          <w:sz w:val="24"/>
          <w:lang w:eastAsia="zh-CN"/>
        </w:rPr>
      </w:pPr>
      <w:r>
        <w:rPr>
          <w:bCs/>
          <w:sz w:val="24"/>
          <w:lang w:eastAsia="zh-CN"/>
        </w:rPr>
        <w:t>七、基金管理人代表基金行使债权人权利的处理原则及方法</w:t>
      </w:r>
    </w:p>
    <w:p w14:paraId="36468486">
      <w:pPr>
        <w:spacing w:line="360" w:lineRule="auto"/>
        <w:ind w:firstLine="480" w:firstLineChars="200"/>
        <w:rPr>
          <w:bCs/>
          <w:sz w:val="24"/>
          <w:lang w:eastAsia="zh-CN"/>
        </w:rPr>
      </w:pPr>
      <w:r>
        <w:rPr>
          <w:bCs/>
          <w:sz w:val="24"/>
          <w:lang w:eastAsia="zh-CN"/>
        </w:rPr>
        <w:t>1、基金管理人按照国家有关规定代表基金独立行使债权人权利，保护基金份额持有人的利益；</w:t>
      </w:r>
    </w:p>
    <w:p w14:paraId="7D819DA5">
      <w:pPr>
        <w:spacing w:line="360" w:lineRule="auto"/>
        <w:ind w:firstLine="480" w:firstLineChars="200"/>
        <w:rPr>
          <w:bCs/>
          <w:sz w:val="24"/>
          <w:lang w:eastAsia="zh-CN"/>
        </w:rPr>
      </w:pPr>
      <w:r>
        <w:rPr>
          <w:bCs/>
          <w:sz w:val="24"/>
          <w:lang w:eastAsia="zh-CN"/>
        </w:rPr>
        <w:t>2、有利于基金财产的安全与增值；</w:t>
      </w:r>
    </w:p>
    <w:p w14:paraId="3D1B5282">
      <w:pPr>
        <w:spacing w:line="360" w:lineRule="auto"/>
        <w:ind w:firstLine="480" w:firstLineChars="200"/>
        <w:rPr>
          <w:bCs/>
          <w:sz w:val="24"/>
          <w:lang w:eastAsia="zh-CN"/>
        </w:rPr>
      </w:pPr>
      <w:r>
        <w:rPr>
          <w:bCs/>
          <w:sz w:val="24"/>
          <w:lang w:eastAsia="zh-CN"/>
        </w:rPr>
        <w:t>3、不通过关联交易为自身、雇员、授权代理人或任何存在利害关系的第三人牟取任何不当利益。</w:t>
      </w:r>
    </w:p>
    <w:p w14:paraId="0230AE74">
      <w:pPr>
        <w:spacing w:line="360" w:lineRule="auto"/>
        <w:ind w:firstLine="480" w:firstLineChars="200"/>
        <w:rPr>
          <w:sz w:val="24"/>
          <w:lang w:eastAsia="zh-CN"/>
        </w:rPr>
      </w:pPr>
      <w:r>
        <w:rPr>
          <w:rFonts w:hint="eastAsia"/>
          <w:sz w:val="24"/>
          <w:lang w:eastAsia="zh-CN"/>
        </w:rPr>
        <w:t>八、侧袋机制的实施和投资运作安排</w:t>
      </w:r>
    </w:p>
    <w:p w14:paraId="579A9DE6">
      <w:pPr>
        <w:spacing w:line="360" w:lineRule="auto"/>
        <w:ind w:firstLine="480" w:firstLineChars="200"/>
        <w:rPr>
          <w:sz w:val="24"/>
          <w:lang w:eastAsia="zh-CN"/>
        </w:rPr>
      </w:pPr>
      <w:r>
        <w:rPr>
          <w:rFonts w:hint="eastAsia"/>
          <w:sz w:val="24"/>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122A744C">
      <w:pPr>
        <w:spacing w:line="360" w:lineRule="auto"/>
        <w:ind w:firstLine="480" w:firstLineChars="200"/>
        <w:rPr>
          <w:sz w:val="24"/>
          <w:lang w:eastAsia="zh-CN"/>
        </w:rPr>
      </w:pPr>
      <w:r>
        <w:rPr>
          <w:rFonts w:hint="eastAsia"/>
          <w:sz w:val="24"/>
          <w:lang w:eastAsia="zh-CN"/>
        </w:rPr>
        <w:t>侧袋机制实施期间，本部分约定的投资组合比例、投资策略、组合限制、业绩比较基准、风险收益特征等约定仅适用于主袋账户。</w:t>
      </w:r>
    </w:p>
    <w:p w14:paraId="15FAE555">
      <w:pPr>
        <w:spacing w:line="360" w:lineRule="auto"/>
        <w:ind w:firstLine="480" w:firstLineChars="200"/>
        <w:jc w:val="both"/>
        <w:rPr>
          <w:lang w:eastAsia="zh-CN"/>
        </w:rPr>
      </w:pPr>
      <w:r>
        <w:rPr>
          <w:rFonts w:hint="eastAsia"/>
          <w:sz w:val="24"/>
          <w:lang w:eastAsia="zh-CN"/>
        </w:rPr>
        <w:t>侧袋账户的实施条件、实施程序、运作安排、投资安排、特定资产的处置变现和支付等对投资者权益有重大影响的事项详见招募说明书</w:t>
      </w:r>
      <w:r>
        <w:rPr>
          <w:rFonts w:hint="eastAsia"/>
          <w:bCs/>
          <w:color w:val="000000"/>
          <w:sz w:val="24"/>
          <w:lang w:eastAsia="zh-CN"/>
        </w:rPr>
        <w:t>“侧袋机制”部分</w:t>
      </w:r>
      <w:r>
        <w:rPr>
          <w:rFonts w:hint="eastAsia"/>
          <w:sz w:val="24"/>
          <w:lang w:eastAsia="zh-CN"/>
        </w:rPr>
        <w:t>的规定。</w:t>
      </w:r>
      <w:bookmarkEnd w:id="58"/>
      <w:bookmarkEnd w:id="59"/>
    </w:p>
    <w:p w14:paraId="7EF0CCF5">
      <w:pPr>
        <w:numPr>
          <w:ilvl w:val="0"/>
          <w:numId w:val="2"/>
        </w:numPr>
        <w:spacing w:line="424" w:lineRule="auto"/>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Cs/>
          <w:color w:val="000000"/>
          <w:sz w:val="24"/>
          <w:lang w:eastAsia="zh-CN"/>
        </w:rPr>
        <w:t>基金投资组合报告</w:t>
      </w:r>
    </w:p>
    <w:p w14:paraId="424B0D4D">
      <w:pPr>
        <w:pStyle w:val="7"/>
        <w:adjustRightInd w:val="0"/>
        <w:snapToGrid w:val="0"/>
        <w:spacing w:line="360" w:lineRule="auto"/>
        <w:ind w:firstLine="480" w:firstLineChars="200"/>
        <w:rPr>
          <w:rFonts w:asciiTheme="minorEastAsia" w:hAnsiTheme="minorEastAsia" w:eastAsiaTheme="minorEastAsia" w:cstheme="minorEastAsia"/>
          <w:bCs/>
          <w:color w:val="000000"/>
          <w:sz w:val="24"/>
          <w:szCs w:val="22"/>
          <w:lang w:eastAsia="zh-CN"/>
        </w:rPr>
      </w:pPr>
      <w:r>
        <w:rPr>
          <w:rFonts w:hint="eastAsia" w:asciiTheme="minorEastAsia" w:hAnsiTheme="minorEastAsia" w:eastAsiaTheme="minorEastAsia" w:cstheme="minorEastAsia"/>
          <w:bCs/>
          <w:color w:val="000000"/>
          <w:sz w:val="24"/>
          <w:szCs w:val="22"/>
          <w:lang w:eastAsia="zh-CN"/>
        </w:rPr>
        <w:t>基金管理人的董事会及董事保证本报告所载资料不存在虚假记载、误导性陈述或重大遗漏，并对其内容的真实性、准确性和完整性承担个别及连带责任。</w:t>
      </w:r>
    </w:p>
    <w:p w14:paraId="360EBE57">
      <w:pPr>
        <w:pStyle w:val="7"/>
        <w:adjustRightInd w:val="0"/>
        <w:snapToGrid w:val="0"/>
        <w:spacing w:line="360" w:lineRule="auto"/>
        <w:ind w:firstLine="480" w:firstLineChars="200"/>
        <w:rPr>
          <w:rFonts w:asciiTheme="minorEastAsia" w:hAnsiTheme="minorEastAsia" w:eastAsiaTheme="minorEastAsia" w:cstheme="minorEastAsia"/>
          <w:bCs/>
          <w:color w:val="000000"/>
          <w:sz w:val="24"/>
          <w:szCs w:val="22"/>
          <w:lang w:eastAsia="zh-CN"/>
        </w:rPr>
      </w:pPr>
      <w:r>
        <w:rPr>
          <w:rFonts w:hint="eastAsia" w:asciiTheme="minorEastAsia" w:hAnsiTheme="minorEastAsia" w:eastAsiaTheme="minorEastAsia" w:cstheme="minorEastAsia"/>
          <w:bCs/>
          <w:color w:val="000000"/>
          <w:sz w:val="24"/>
          <w:szCs w:val="22"/>
          <w:lang w:eastAsia="zh-CN"/>
        </w:rPr>
        <w:t>基金托管人</w:t>
      </w:r>
      <w:r>
        <w:rPr>
          <w:rFonts w:hint="eastAsia" w:asciiTheme="minorEastAsia" w:hAnsiTheme="minorEastAsia" w:eastAsiaTheme="minorEastAsia" w:cstheme="minorEastAsia"/>
          <w:bCs/>
          <w:color w:val="000000"/>
          <w:sz w:val="24"/>
          <w:szCs w:val="22"/>
          <w:lang w:val="en-US" w:eastAsia="zh-CN"/>
        </w:rPr>
        <w:t>上海浦东发展银行</w:t>
      </w:r>
      <w:r>
        <w:rPr>
          <w:rFonts w:hint="eastAsia" w:asciiTheme="minorEastAsia" w:hAnsiTheme="minorEastAsia" w:eastAsiaTheme="minorEastAsia" w:cstheme="minorEastAsia"/>
          <w:bCs/>
          <w:color w:val="000000"/>
          <w:sz w:val="24"/>
          <w:szCs w:val="22"/>
          <w:lang w:eastAsia="zh-CN"/>
        </w:rPr>
        <w:t>根据本基金合同规定，复核了本报告中的净值表现和投资组合报告等内容，保证复核内容不存在虚假记载、误导性陈述或者重大遗漏。</w:t>
      </w:r>
    </w:p>
    <w:p w14:paraId="3B5A1EC3">
      <w:pPr>
        <w:pStyle w:val="7"/>
        <w:adjustRightInd w:val="0"/>
        <w:snapToGrid w:val="0"/>
        <w:spacing w:line="360" w:lineRule="auto"/>
        <w:ind w:firstLine="424" w:firstLineChars="177"/>
        <w:rPr>
          <w:rFonts w:asciiTheme="minorEastAsia" w:hAnsiTheme="minorEastAsia" w:eastAsiaTheme="minorEastAsia" w:cstheme="minorEastAsia"/>
          <w:bCs/>
          <w:color w:val="000000"/>
          <w:sz w:val="24"/>
          <w:szCs w:val="22"/>
          <w:lang w:eastAsia="zh-CN"/>
        </w:rPr>
      </w:pPr>
      <w:r>
        <w:rPr>
          <w:rFonts w:hint="eastAsia" w:asciiTheme="minorEastAsia" w:hAnsiTheme="minorEastAsia" w:eastAsiaTheme="minorEastAsia" w:cstheme="minorEastAsia"/>
          <w:bCs/>
          <w:color w:val="000000"/>
          <w:sz w:val="24"/>
          <w:szCs w:val="22"/>
          <w:lang w:eastAsia="zh-CN"/>
        </w:rPr>
        <w:t>本投资组合报告所载数据截至202</w:t>
      </w:r>
      <w:r>
        <w:rPr>
          <w:rFonts w:hint="eastAsia" w:asciiTheme="minorEastAsia" w:hAnsiTheme="minorEastAsia" w:eastAsiaTheme="minorEastAsia" w:cstheme="minorEastAsia"/>
          <w:bCs/>
          <w:color w:val="000000"/>
          <w:sz w:val="24"/>
          <w:szCs w:val="22"/>
          <w:lang w:val="en-US" w:eastAsia="zh-CN"/>
        </w:rPr>
        <w:t>6</w:t>
      </w:r>
      <w:r>
        <w:rPr>
          <w:rFonts w:hint="eastAsia" w:asciiTheme="minorEastAsia" w:hAnsiTheme="minorEastAsia" w:eastAsiaTheme="minorEastAsia" w:cstheme="minorEastAsia"/>
          <w:bCs/>
          <w:color w:val="000000"/>
          <w:sz w:val="24"/>
          <w:szCs w:val="22"/>
          <w:lang w:eastAsia="zh-CN"/>
        </w:rPr>
        <w:t>年3月31日，本报告中所列财务数据摘自202</w:t>
      </w:r>
      <w:r>
        <w:rPr>
          <w:rFonts w:hint="eastAsia" w:asciiTheme="minorEastAsia" w:hAnsiTheme="minorEastAsia" w:eastAsiaTheme="minorEastAsia" w:cstheme="minorEastAsia"/>
          <w:bCs/>
          <w:color w:val="000000"/>
          <w:sz w:val="24"/>
          <w:szCs w:val="22"/>
          <w:lang w:val="en-US" w:eastAsia="zh-CN"/>
        </w:rPr>
        <w:t>6</w:t>
      </w:r>
      <w:r>
        <w:rPr>
          <w:rFonts w:hint="eastAsia" w:asciiTheme="minorEastAsia" w:hAnsiTheme="minorEastAsia" w:eastAsiaTheme="minorEastAsia" w:cstheme="minorEastAsia"/>
          <w:bCs/>
          <w:color w:val="000000"/>
          <w:sz w:val="24"/>
          <w:szCs w:val="22"/>
          <w:lang w:eastAsia="zh-CN"/>
        </w:rPr>
        <w:t>年1季度报告。</w:t>
      </w:r>
    </w:p>
    <w:p w14:paraId="0692C746">
      <w:pPr>
        <w:numPr>
          <w:ilvl w:val="0"/>
          <w:numId w:val="0"/>
        </w:numPr>
        <w:spacing w:line="424" w:lineRule="auto"/>
        <w:rPr>
          <w:rFonts w:hint="eastAsia" w:asciiTheme="minorEastAsia" w:hAnsiTheme="minorEastAsia" w:eastAsiaTheme="minorEastAsia" w:cstheme="minorEastAsia"/>
          <w:bCs/>
          <w:color w:val="000000"/>
          <w:sz w:val="24"/>
          <w:lang w:eastAsia="zh-CN"/>
        </w:rPr>
      </w:pPr>
    </w:p>
    <w:p w14:paraId="0776E701">
      <w:pPr>
        <w:numPr>
          <w:ilvl w:val="0"/>
          <w:numId w:val="3"/>
        </w:numPr>
        <w:spacing w:line="424" w:lineRule="auto"/>
        <w:rPr>
          <w:rFonts w:hint="eastAsia" w:asciiTheme="minorEastAsia" w:hAnsiTheme="minorEastAsia" w:eastAsiaTheme="minorEastAsia" w:cstheme="minorEastAsia"/>
          <w:bCs/>
          <w:color w:val="000000"/>
          <w:sz w:val="24"/>
          <w:szCs w:val="24"/>
          <w:lang w:eastAsia="zh-CN"/>
        </w:rPr>
      </w:pPr>
      <w:r>
        <w:rPr>
          <w:rFonts w:hint="eastAsia" w:asciiTheme="minorEastAsia" w:hAnsiTheme="minorEastAsia" w:eastAsiaTheme="minorEastAsia" w:cstheme="minorEastAsia"/>
          <w:bCs/>
          <w:color w:val="000000"/>
          <w:sz w:val="24"/>
          <w:szCs w:val="24"/>
          <w:lang w:eastAsia="zh-CN"/>
        </w:rPr>
        <w:t>报告期末基金资产组合情况</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554"/>
        <w:gridCol w:w="2554"/>
        <w:gridCol w:w="2426"/>
      </w:tblGrid>
      <w:tr w14:paraId="00DF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1" w:type="pct"/>
            <w:shd w:val="clear" w:color="auto" w:fill="D9D9D9"/>
            <w:vAlign w:val="center"/>
          </w:tcPr>
          <w:p w14:paraId="0ADEDD2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序号</w:t>
            </w:r>
          </w:p>
        </w:tc>
        <w:tc>
          <w:tcPr>
            <w:tcW w:w="1538" w:type="pct"/>
            <w:shd w:val="clear" w:color="auto" w:fill="D9D9D9"/>
            <w:vAlign w:val="center"/>
          </w:tcPr>
          <w:p w14:paraId="6568E294">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项目</w:t>
            </w:r>
          </w:p>
        </w:tc>
        <w:tc>
          <w:tcPr>
            <w:tcW w:w="1538" w:type="pct"/>
            <w:shd w:val="clear" w:color="auto" w:fill="D9D9D9"/>
            <w:vAlign w:val="center"/>
          </w:tcPr>
          <w:p w14:paraId="72CDA465">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金额(元)</w:t>
            </w:r>
          </w:p>
        </w:tc>
        <w:tc>
          <w:tcPr>
            <w:tcW w:w="1461" w:type="pct"/>
            <w:shd w:val="clear" w:color="auto" w:fill="D9D9D9"/>
            <w:vAlign w:val="center"/>
          </w:tcPr>
          <w:p w14:paraId="3B790464">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占基金总资产的比例（%）</w:t>
            </w:r>
          </w:p>
        </w:tc>
      </w:tr>
      <w:tr w14:paraId="2772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5F966029">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w:t>
            </w:r>
          </w:p>
        </w:tc>
        <w:tc>
          <w:tcPr>
            <w:tcW w:w="1538" w:type="pct"/>
            <w:vAlign w:val="center"/>
          </w:tcPr>
          <w:p w14:paraId="396AF5B6">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权益投资</w:t>
            </w:r>
          </w:p>
        </w:tc>
        <w:tc>
          <w:tcPr>
            <w:tcW w:w="1538" w:type="pct"/>
            <w:vAlign w:val="center"/>
          </w:tcPr>
          <w:p w14:paraId="25359889">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3E4186A1">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6099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31E62A35">
            <w:pPr>
              <w:spacing w:line="360" w:lineRule="auto"/>
              <w:jc w:val="left"/>
              <w:rPr>
                <w:rFonts w:hint="eastAsia" w:asciiTheme="minorEastAsia" w:hAnsiTheme="minorEastAsia" w:eastAsiaTheme="minorEastAsia" w:cstheme="minorEastAsia"/>
                <w:sz w:val="24"/>
                <w:szCs w:val="24"/>
              </w:rPr>
            </w:pPr>
          </w:p>
        </w:tc>
        <w:tc>
          <w:tcPr>
            <w:tcW w:w="1538" w:type="pct"/>
            <w:vAlign w:val="center"/>
          </w:tcPr>
          <w:p w14:paraId="7767ADB9">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其中：股票</w:t>
            </w:r>
          </w:p>
        </w:tc>
        <w:tc>
          <w:tcPr>
            <w:tcW w:w="1538" w:type="pct"/>
            <w:vAlign w:val="center"/>
          </w:tcPr>
          <w:p w14:paraId="1803EF58">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5985D319">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6BB0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24BA4F82">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w:t>
            </w:r>
          </w:p>
        </w:tc>
        <w:tc>
          <w:tcPr>
            <w:tcW w:w="1538" w:type="pct"/>
            <w:vAlign w:val="center"/>
          </w:tcPr>
          <w:p w14:paraId="32529727">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基金投资</w:t>
            </w:r>
          </w:p>
        </w:tc>
        <w:tc>
          <w:tcPr>
            <w:tcW w:w="1538" w:type="pct"/>
            <w:vAlign w:val="center"/>
          </w:tcPr>
          <w:p w14:paraId="6A540247">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5FEE96D0">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0B9E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6EAE86CF">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3</w:t>
            </w:r>
          </w:p>
        </w:tc>
        <w:tc>
          <w:tcPr>
            <w:tcW w:w="1538" w:type="pct"/>
            <w:vAlign w:val="center"/>
          </w:tcPr>
          <w:p w14:paraId="31808EA5">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固定收益投资</w:t>
            </w:r>
          </w:p>
        </w:tc>
        <w:tc>
          <w:tcPr>
            <w:tcW w:w="1538" w:type="pct"/>
            <w:vAlign w:val="center"/>
          </w:tcPr>
          <w:p w14:paraId="38D3A1BC">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101,807,936.29</w:t>
            </w:r>
          </w:p>
        </w:tc>
        <w:tc>
          <w:tcPr>
            <w:tcW w:w="1461" w:type="pct"/>
            <w:vAlign w:val="center"/>
          </w:tcPr>
          <w:p w14:paraId="7F81A107">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97.70</w:t>
            </w:r>
          </w:p>
        </w:tc>
      </w:tr>
      <w:tr w14:paraId="62BA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5A4152AE">
            <w:pPr>
              <w:spacing w:line="360" w:lineRule="auto"/>
              <w:jc w:val="left"/>
              <w:rPr>
                <w:rFonts w:hint="eastAsia" w:asciiTheme="minorEastAsia" w:hAnsiTheme="minorEastAsia" w:eastAsiaTheme="minorEastAsia" w:cstheme="minorEastAsia"/>
                <w:sz w:val="24"/>
                <w:szCs w:val="24"/>
              </w:rPr>
            </w:pPr>
          </w:p>
        </w:tc>
        <w:tc>
          <w:tcPr>
            <w:tcW w:w="1538" w:type="pct"/>
            <w:vAlign w:val="center"/>
          </w:tcPr>
          <w:p w14:paraId="68A7573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其中：债券</w:t>
            </w:r>
          </w:p>
        </w:tc>
        <w:tc>
          <w:tcPr>
            <w:tcW w:w="1538" w:type="pct"/>
            <w:vAlign w:val="center"/>
          </w:tcPr>
          <w:p w14:paraId="5B63737A">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101,807,936.29</w:t>
            </w:r>
          </w:p>
        </w:tc>
        <w:tc>
          <w:tcPr>
            <w:tcW w:w="1461" w:type="pct"/>
            <w:vAlign w:val="center"/>
          </w:tcPr>
          <w:p w14:paraId="23A432DA">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97.70</w:t>
            </w:r>
          </w:p>
        </w:tc>
      </w:tr>
      <w:tr w14:paraId="65D2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2054CB00">
            <w:pPr>
              <w:spacing w:line="360" w:lineRule="auto"/>
              <w:jc w:val="left"/>
              <w:rPr>
                <w:rFonts w:hint="eastAsia" w:asciiTheme="minorEastAsia" w:hAnsiTheme="minorEastAsia" w:eastAsiaTheme="minorEastAsia" w:cstheme="minorEastAsia"/>
                <w:sz w:val="24"/>
                <w:szCs w:val="24"/>
              </w:rPr>
            </w:pPr>
          </w:p>
        </w:tc>
        <w:tc>
          <w:tcPr>
            <w:tcW w:w="1538" w:type="pct"/>
            <w:vAlign w:val="center"/>
          </w:tcPr>
          <w:p w14:paraId="730DD9D7">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 xml:space="preserve">      资产支持证券</w:t>
            </w:r>
          </w:p>
        </w:tc>
        <w:tc>
          <w:tcPr>
            <w:tcW w:w="1538" w:type="pct"/>
            <w:vAlign w:val="center"/>
          </w:tcPr>
          <w:p w14:paraId="0778CB49">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098180C1">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6FE2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03E9DBD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4</w:t>
            </w:r>
          </w:p>
        </w:tc>
        <w:tc>
          <w:tcPr>
            <w:tcW w:w="1538" w:type="pct"/>
            <w:vAlign w:val="center"/>
          </w:tcPr>
          <w:p w14:paraId="62505446">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贵金属投资</w:t>
            </w:r>
          </w:p>
        </w:tc>
        <w:tc>
          <w:tcPr>
            <w:tcW w:w="1538" w:type="pct"/>
            <w:vAlign w:val="center"/>
          </w:tcPr>
          <w:p w14:paraId="584D3DBF">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0269CA1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57DD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454B0FAB">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5</w:t>
            </w:r>
          </w:p>
        </w:tc>
        <w:tc>
          <w:tcPr>
            <w:tcW w:w="1538" w:type="pct"/>
            <w:vAlign w:val="center"/>
          </w:tcPr>
          <w:p w14:paraId="318119F1">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金融衍生品投资</w:t>
            </w:r>
          </w:p>
        </w:tc>
        <w:tc>
          <w:tcPr>
            <w:tcW w:w="1538" w:type="pct"/>
            <w:vAlign w:val="center"/>
          </w:tcPr>
          <w:p w14:paraId="13E7D9E0">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6916E693">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4AD9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242F66C8">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6</w:t>
            </w:r>
          </w:p>
        </w:tc>
        <w:tc>
          <w:tcPr>
            <w:tcW w:w="1538" w:type="pct"/>
            <w:vAlign w:val="center"/>
          </w:tcPr>
          <w:p w14:paraId="73EDD216">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买入返售金融资产</w:t>
            </w:r>
          </w:p>
        </w:tc>
        <w:tc>
          <w:tcPr>
            <w:tcW w:w="1538" w:type="pct"/>
            <w:vAlign w:val="center"/>
          </w:tcPr>
          <w:p w14:paraId="6FD2B9AF">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4A2C6295">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7708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38EAFA6E">
            <w:pPr>
              <w:spacing w:line="360" w:lineRule="auto"/>
              <w:jc w:val="left"/>
              <w:rPr>
                <w:rFonts w:hint="eastAsia" w:asciiTheme="minorEastAsia" w:hAnsiTheme="minorEastAsia" w:eastAsiaTheme="minorEastAsia" w:cstheme="minorEastAsia"/>
                <w:sz w:val="24"/>
                <w:szCs w:val="24"/>
              </w:rPr>
            </w:pPr>
          </w:p>
        </w:tc>
        <w:tc>
          <w:tcPr>
            <w:tcW w:w="1538" w:type="pct"/>
            <w:vAlign w:val="center"/>
          </w:tcPr>
          <w:p w14:paraId="3028DC66">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其中：买断式回购的买入返售金融资产</w:t>
            </w:r>
          </w:p>
        </w:tc>
        <w:tc>
          <w:tcPr>
            <w:tcW w:w="1538" w:type="pct"/>
            <w:vAlign w:val="center"/>
          </w:tcPr>
          <w:p w14:paraId="1F2E2EAE">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33DAE667">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2CBD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724BBE92">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7</w:t>
            </w:r>
          </w:p>
        </w:tc>
        <w:tc>
          <w:tcPr>
            <w:tcW w:w="1538" w:type="pct"/>
            <w:vAlign w:val="center"/>
          </w:tcPr>
          <w:p w14:paraId="096067F9">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银行存款和结算备付金合计</w:t>
            </w:r>
          </w:p>
        </w:tc>
        <w:tc>
          <w:tcPr>
            <w:tcW w:w="1538" w:type="pct"/>
            <w:vAlign w:val="center"/>
          </w:tcPr>
          <w:p w14:paraId="2B21F74D">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2,399,043.22</w:t>
            </w:r>
          </w:p>
        </w:tc>
        <w:tc>
          <w:tcPr>
            <w:tcW w:w="1461" w:type="pct"/>
            <w:vAlign w:val="center"/>
          </w:tcPr>
          <w:p w14:paraId="3340680B">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2.30</w:t>
            </w:r>
          </w:p>
        </w:tc>
      </w:tr>
      <w:tr w14:paraId="1A2C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4465D8A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8</w:t>
            </w:r>
          </w:p>
        </w:tc>
        <w:tc>
          <w:tcPr>
            <w:tcW w:w="1538" w:type="pct"/>
            <w:vAlign w:val="center"/>
          </w:tcPr>
          <w:p w14:paraId="08219338">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其他资产</w:t>
            </w:r>
          </w:p>
        </w:tc>
        <w:tc>
          <w:tcPr>
            <w:tcW w:w="1538" w:type="pct"/>
            <w:vAlign w:val="center"/>
          </w:tcPr>
          <w:p w14:paraId="42A73327">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461" w:type="pct"/>
            <w:vAlign w:val="center"/>
          </w:tcPr>
          <w:p w14:paraId="389E854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404E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14:paraId="618B1B68">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9</w:t>
            </w:r>
          </w:p>
        </w:tc>
        <w:tc>
          <w:tcPr>
            <w:tcW w:w="1538" w:type="pct"/>
            <w:vAlign w:val="center"/>
          </w:tcPr>
          <w:p w14:paraId="754362F4">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合计</w:t>
            </w:r>
          </w:p>
        </w:tc>
        <w:tc>
          <w:tcPr>
            <w:tcW w:w="1538" w:type="pct"/>
            <w:vAlign w:val="center"/>
          </w:tcPr>
          <w:p w14:paraId="16192660">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104,206,979.51</w:t>
            </w:r>
          </w:p>
        </w:tc>
        <w:tc>
          <w:tcPr>
            <w:tcW w:w="1461" w:type="pct"/>
            <w:vAlign w:val="center"/>
          </w:tcPr>
          <w:p w14:paraId="0BE7F87B">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100.00</w:t>
            </w:r>
          </w:p>
        </w:tc>
      </w:tr>
    </w:tbl>
    <w:p w14:paraId="7FB6BEFC">
      <w:pPr>
        <w:numPr>
          <w:ilvl w:val="0"/>
          <w:numId w:val="0"/>
        </w:numPr>
        <w:spacing w:line="424" w:lineRule="auto"/>
        <w:rPr>
          <w:rFonts w:hint="eastAsia" w:asciiTheme="minorEastAsia" w:hAnsiTheme="minorEastAsia" w:eastAsiaTheme="minorEastAsia" w:cstheme="minorEastAsia"/>
          <w:bCs/>
          <w:color w:val="000000"/>
          <w:sz w:val="24"/>
          <w:szCs w:val="24"/>
          <w:lang w:eastAsia="zh-CN"/>
        </w:rPr>
      </w:pPr>
    </w:p>
    <w:p w14:paraId="5EBD298C">
      <w:pPr>
        <w:numPr>
          <w:ilvl w:val="0"/>
          <w:numId w:val="3"/>
        </w:numPr>
        <w:spacing w:line="424" w:lineRule="auto"/>
        <w:rPr>
          <w:rFonts w:hint="eastAsia" w:asciiTheme="minorEastAsia" w:hAnsiTheme="minorEastAsia" w:eastAsiaTheme="minorEastAsia" w:cstheme="minorEastAsia"/>
          <w:b w:val="0"/>
          <w:bCs/>
          <w:color w:val="000000"/>
          <w:sz w:val="24"/>
          <w:szCs w:val="24"/>
          <w:lang w:eastAsia="zh-CN"/>
        </w:rPr>
      </w:pPr>
      <w:r>
        <w:rPr>
          <w:rFonts w:hint="eastAsia" w:asciiTheme="minorEastAsia" w:hAnsiTheme="minorEastAsia" w:eastAsiaTheme="minorEastAsia" w:cstheme="minorEastAsia"/>
          <w:b w:val="0"/>
          <w:bCs/>
          <w:color w:val="000000"/>
          <w:sz w:val="24"/>
          <w:szCs w:val="24"/>
          <w:lang w:eastAsia="zh-CN"/>
        </w:rPr>
        <w:t>报告期末按行业分类的股票投资组合</w:t>
      </w:r>
    </w:p>
    <w:p w14:paraId="4F4A7FBB">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2.1 报告期末按行业分类的境内股票投资组合</w:t>
      </w:r>
    </w:p>
    <w:p w14:paraId="1BC7E8CC">
      <w:pPr>
        <w:rPr>
          <w:rFonts w:hint="eastAsia" w:asciiTheme="minorEastAsia" w:hAnsiTheme="minorEastAsia" w:eastAsiaTheme="minorEastAsia" w:cstheme="minorEastAsia"/>
          <w:b w:val="0"/>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本基金本报告期末未持有股票。</w:t>
      </w:r>
    </w:p>
    <w:p w14:paraId="125155C1">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2.2 报告期末按行业分类的港股通投资股票投资组合</w:t>
      </w:r>
    </w:p>
    <w:p w14:paraId="76C5BF39">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本基金本报告期末未持有港股通投资股票。</w:t>
      </w:r>
    </w:p>
    <w:p w14:paraId="72A1CF02">
      <w:pPr>
        <w:rPr>
          <w:rFonts w:hint="eastAsia" w:asciiTheme="minorEastAsia" w:hAnsiTheme="minorEastAsia" w:eastAsiaTheme="minorEastAsia" w:cstheme="minorEastAsia"/>
          <w:bCs/>
          <w:color w:val="000000"/>
          <w:sz w:val="24"/>
          <w:lang w:eastAsia="zh-CN"/>
        </w:rPr>
      </w:pPr>
    </w:p>
    <w:p w14:paraId="0C58883E">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3 报告期末按公允价值占基金资产净值比例大小排序的前十名股票投资明细</w:t>
      </w:r>
    </w:p>
    <w:p w14:paraId="7D4DFE1A">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本基金本报告期末未持有股票。</w:t>
      </w:r>
    </w:p>
    <w:p w14:paraId="631254F7">
      <w:pPr>
        <w:rPr>
          <w:rFonts w:hint="eastAsia" w:asciiTheme="minorEastAsia" w:hAnsiTheme="minorEastAsia" w:eastAsiaTheme="minorEastAsia" w:cstheme="minorEastAsia"/>
          <w:bCs/>
          <w:color w:val="000000"/>
          <w:sz w:val="24"/>
          <w:lang w:eastAsia="zh-CN"/>
        </w:rPr>
      </w:pPr>
    </w:p>
    <w:p w14:paraId="5A90EC3C">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4 报告期末按债券品种分类的债券投资组合</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2468"/>
        <w:gridCol w:w="1971"/>
        <w:gridCol w:w="2943"/>
      </w:tblGrid>
      <w:tr w14:paraId="2926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shd w:val="clear" w:color="auto" w:fill="D9D9D9"/>
            <w:vAlign w:val="center"/>
          </w:tcPr>
          <w:p w14:paraId="0D9798F9">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序号</w:t>
            </w:r>
          </w:p>
        </w:tc>
        <w:tc>
          <w:tcPr>
            <w:tcW w:w="1486" w:type="pct"/>
            <w:shd w:val="clear" w:color="auto" w:fill="D9D9D9"/>
            <w:vAlign w:val="center"/>
          </w:tcPr>
          <w:p w14:paraId="204418FF">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债券品种</w:t>
            </w:r>
          </w:p>
        </w:tc>
        <w:tc>
          <w:tcPr>
            <w:tcW w:w="1187" w:type="pct"/>
            <w:shd w:val="clear" w:color="auto" w:fill="D9D9D9"/>
            <w:vAlign w:val="center"/>
          </w:tcPr>
          <w:p w14:paraId="57CDAF58">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公允价值(元)</w:t>
            </w:r>
          </w:p>
        </w:tc>
        <w:tc>
          <w:tcPr>
            <w:tcW w:w="1772" w:type="pct"/>
            <w:shd w:val="clear" w:color="auto" w:fill="D9D9D9"/>
            <w:vAlign w:val="center"/>
          </w:tcPr>
          <w:p w14:paraId="3017D0ED">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占基金资产净值比例(％)</w:t>
            </w:r>
          </w:p>
        </w:tc>
      </w:tr>
      <w:tr w14:paraId="4E85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37E6DBB3">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w:t>
            </w:r>
          </w:p>
        </w:tc>
        <w:tc>
          <w:tcPr>
            <w:tcW w:w="1486" w:type="pct"/>
          </w:tcPr>
          <w:p w14:paraId="3CFD08AF">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国家债券</w:t>
            </w:r>
          </w:p>
        </w:tc>
        <w:tc>
          <w:tcPr>
            <w:tcW w:w="1187" w:type="pct"/>
          </w:tcPr>
          <w:p w14:paraId="6C2F42D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525,026.71</w:t>
            </w:r>
          </w:p>
        </w:tc>
        <w:tc>
          <w:tcPr>
            <w:tcW w:w="1772" w:type="pct"/>
          </w:tcPr>
          <w:p w14:paraId="4C4B04C6">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0.50</w:t>
            </w:r>
          </w:p>
        </w:tc>
      </w:tr>
      <w:tr w14:paraId="01E4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6C068F61">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w:t>
            </w:r>
          </w:p>
        </w:tc>
        <w:tc>
          <w:tcPr>
            <w:tcW w:w="1486" w:type="pct"/>
          </w:tcPr>
          <w:p w14:paraId="57EB3329">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央行票据</w:t>
            </w:r>
          </w:p>
        </w:tc>
        <w:tc>
          <w:tcPr>
            <w:tcW w:w="1187" w:type="pct"/>
          </w:tcPr>
          <w:p w14:paraId="6D6246BF">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772" w:type="pct"/>
          </w:tcPr>
          <w:p w14:paraId="306AE3F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1873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63E39FED">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3</w:t>
            </w:r>
          </w:p>
        </w:tc>
        <w:tc>
          <w:tcPr>
            <w:tcW w:w="1486" w:type="pct"/>
          </w:tcPr>
          <w:p w14:paraId="2B553391">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金融债券</w:t>
            </w:r>
          </w:p>
        </w:tc>
        <w:tc>
          <w:tcPr>
            <w:tcW w:w="1187" w:type="pct"/>
          </w:tcPr>
          <w:p w14:paraId="4CD2BC6C">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101,282,909.58</w:t>
            </w:r>
          </w:p>
        </w:tc>
        <w:tc>
          <w:tcPr>
            <w:tcW w:w="1772" w:type="pct"/>
          </w:tcPr>
          <w:p w14:paraId="053FE256">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97.40</w:t>
            </w:r>
          </w:p>
        </w:tc>
      </w:tr>
      <w:tr w14:paraId="5160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5975DDB2">
            <w:pPr>
              <w:spacing w:line="360" w:lineRule="auto"/>
              <w:jc w:val="left"/>
              <w:rPr>
                <w:rFonts w:hint="eastAsia" w:asciiTheme="minorEastAsia" w:hAnsiTheme="minorEastAsia" w:eastAsiaTheme="minorEastAsia" w:cstheme="minorEastAsia"/>
                <w:sz w:val="24"/>
                <w:szCs w:val="24"/>
              </w:rPr>
            </w:pPr>
          </w:p>
        </w:tc>
        <w:tc>
          <w:tcPr>
            <w:tcW w:w="1486" w:type="pct"/>
          </w:tcPr>
          <w:p w14:paraId="152F047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其中：政策性金融债</w:t>
            </w:r>
          </w:p>
        </w:tc>
        <w:tc>
          <w:tcPr>
            <w:tcW w:w="1187" w:type="pct"/>
          </w:tcPr>
          <w:p w14:paraId="14870BA6">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101,282,909.58</w:t>
            </w:r>
          </w:p>
        </w:tc>
        <w:tc>
          <w:tcPr>
            <w:tcW w:w="1772" w:type="pct"/>
          </w:tcPr>
          <w:p w14:paraId="69503A1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97.40</w:t>
            </w:r>
          </w:p>
        </w:tc>
      </w:tr>
      <w:tr w14:paraId="0DCB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1194DD25">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4</w:t>
            </w:r>
          </w:p>
        </w:tc>
        <w:tc>
          <w:tcPr>
            <w:tcW w:w="1486" w:type="pct"/>
          </w:tcPr>
          <w:p w14:paraId="6A9CC115">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企业债券</w:t>
            </w:r>
          </w:p>
        </w:tc>
        <w:tc>
          <w:tcPr>
            <w:tcW w:w="1187" w:type="pct"/>
          </w:tcPr>
          <w:p w14:paraId="424BA688">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772" w:type="pct"/>
          </w:tcPr>
          <w:p w14:paraId="31AEB00D">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4149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43D09BC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5</w:t>
            </w:r>
          </w:p>
        </w:tc>
        <w:tc>
          <w:tcPr>
            <w:tcW w:w="1486" w:type="pct"/>
          </w:tcPr>
          <w:p w14:paraId="08541051">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企业短期融资券</w:t>
            </w:r>
          </w:p>
        </w:tc>
        <w:tc>
          <w:tcPr>
            <w:tcW w:w="1187" w:type="pct"/>
          </w:tcPr>
          <w:p w14:paraId="518EBFEA">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772" w:type="pct"/>
          </w:tcPr>
          <w:p w14:paraId="64896D04">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3D1F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4E0475DC">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6</w:t>
            </w:r>
          </w:p>
        </w:tc>
        <w:tc>
          <w:tcPr>
            <w:tcW w:w="1486" w:type="pct"/>
          </w:tcPr>
          <w:p w14:paraId="73BD8C9B">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中期票据</w:t>
            </w:r>
          </w:p>
        </w:tc>
        <w:tc>
          <w:tcPr>
            <w:tcW w:w="1187" w:type="pct"/>
          </w:tcPr>
          <w:p w14:paraId="52753E48">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772" w:type="pct"/>
          </w:tcPr>
          <w:p w14:paraId="4D240145">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79F2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2A1AF3D5">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7</w:t>
            </w:r>
          </w:p>
        </w:tc>
        <w:tc>
          <w:tcPr>
            <w:tcW w:w="1486" w:type="pct"/>
          </w:tcPr>
          <w:p w14:paraId="1B66B21D">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可转债（可交换债）</w:t>
            </w:r>
          </w:p>
        </w:tc>
        <w:tc>
          <w:tcPr>
            <w:tcW w:w="1187" w:type="pct"/>
          </w:tcPr>
          <w:p w14:paraId="4285D340">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772" w:type="pct"/>
          </w:tcPr>
          <w:p w14:paraId="36D37C7A">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50C5D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488C72C5">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8</w:t>
            </w:r>
          </w:p>
        </w:tc>
        <w:tc>
          <w:tcPr>
            <w:tcW w:w="1486" w:type="pct"/>
          </w:tcPr>
          <w:p w14:paraId="2EC4D6E6">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同业存单</w:t>
            </w:r>
          </w:p>
        </w:tc>
        <w:tc>
          <w:tcPr>
            <w:tcW w:w="1187" w:type="pct"/>
          </w:tcPr>
          <w:p w14:paraId="269A5333">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772" w:type="pct"/>
          </w:tcPr>
          <w:p w14:paraId="42200F54">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6117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5070C78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9</w:t>
            </w:r>
          </w:p>
        </w:tc>
        <w:tc>
          <w:tcPr>
            <w:tcW w:w="1486" w:type="pct"/>
          </w:tcPr>
          <w:p w14:paraId="1D712346">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其他</w:t>
            </w:r>
          </w:p>
        </w:tc>
        <w:tc>
          <w:tcPr>
            <w:tcW w:w="1187" w:type="pct"/>
          </w:tcPr>
          <w:p w14:paraId="17C78F3A">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c>
          <w:tcPr>
            <w:tcW w:w="1772" w:type="pct"/>
          </w:tcPr>
          <w:p w14:paraId="4DB81180">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w:t>
            </w:r>
          </w:p>
        </w:tc>
      </w:tr>
      <w:tr w14:paraId="3896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35F7F75A">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w:t>
            </w:r>
          </w:p>
        </w:tc>
        <w:tc>
          <w:tcPr>
            <w:tcW w:w="1486" w:type="pct"/>
          </w:tcPr>
          <w:p w14:paraId="0950D0A4">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合计</w:t>
            </w:r>
          </w:p>
        </w:tc>
        <w:tc>
          <w:tcPr>
            <w:tcW w:w="1187" w:type="pct"/>
          </w:tcPr>
          <w:p w14:paraId="0B05B6A4">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101,807,936.29</w:t>
            </w:r>
          </w:p>
        </w:tc>
        <w:tc>
          <w:tcPr>
            <w:tcW w:w="1772" w:type="pct"/>
          </w:tcPr>
          <w:p w14:paraId="0808138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97.91</w:t>
            </w:r>
          </w:p>
        </w:tc>
      </w:tr>
    </w:tbl>
    <w:p w14:paraId="07200B9A">
      <w:pPr>
        <w:rPr>
          <w:rFonts w:hint="eastAsia" w:asciiTheme="minorEastAsia" w:hAnsiTheme="minorEastAsia" w:eastAsiaTheme="minorEastAsia" w:cstheme="minorEastAsia"/>
          <w:bCs/>
          <w:color w:val="000000"/>
          <w:sz w:val="24"/>
          <w:lang w:eastAsia="zh-CN"/>
        </w:rPr>
      </w:pPr>
    </w:p>
    <w:p w14:paraId="47D464CA">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5 报告期末按公允价值占基金资产净值比例大小排序的前五名债券投资明细</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167"/>
        <w:gridCol w:w="1299"/>
        <w:gridCol w:w="1316"/>
        <w:gridCol w:w="1952"/>
        <w:gridCol w:w="1648"/>
      </w:tblGrid>
      <w:tr w14:paraId="268A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shd w:val="clear" w:color="auto" w:fill="D9D9D9"/>
            <w:vAlign w:val="center"/>
          </w:tcPr>
          <w:p w14:paraId="4CB3B9A9">
            <w:pPr>
              <w:spacing w:line="240" w:lineRule="auto"/>
              <w:jc w:val="left"/>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序号</w:t>
            </w:r>
          </w:p>
        </w:tc>
        <w:tc>
          <w:tcPr>
            <w:tcW w:w="703" w:type="pct"/>
            <w:shd w:val="clear" w:color="auto" w:fill="D9D9D9"/>
            <w:vAlign w:val="center"/>
          </w:tcPr>
          <w:p w14:paraId="53D29CC7">
            <w:pPr>
              <w:spacing w:line="240" w:lineRule="auto"/>
              <w:jc w:val="left"/>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债券代码</w:t>
            </w:r>
          </w:p>
        </w:tc>
        <w:tc>
          <w:tcPr>
            <w:tcW w:w="782" w:type="pct"/>
            <w:shd w:val="clear" w:color="auto" w:fill="D9D9D9"/>
            <w:vAlign w:val="center"/>
          </w:tcPr>
          <w:p w14:paraId="67DDC794">
            <w:pPr>
              <w:spacing w:line="240" w:lineRule="auto"/>
              <w:jc w:val="left"/>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债券名称</w:t>
            </w:r>
          </w:p>
        </w:tc>
        <w:tc>
          <w:tcPr>
            <w:tcW w:w="792" w:type="pct"/>
            <w:shd w:val="clear" w:color="auto" w:fill="D9D9D9"/>
            <w:vAlign w:val="center"/>
          </w:tcPr>
          <w:p w14:paraId="2B1B006D">
            <w:pPr>
              <w:spacing w:line="240" w:lineRule="auto"/>
              <w:jc w:val="left"/>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数量(张)</w:t>
            </w:r>
          </w:p>
        </w:tc>
        <w:tc>
          <w:tcPr>
            <w:tcW w:w="1175" w:type="pct"/>
            <w:shd w:val="clear" w:color="auto" w:fill="D9D9D9"/>
            <w:vAlign w:val="center"/>
          </w:tcPr>
          <w:p w14:paraId="26C45C7E">
            <w:pPr>
              <w:spacing w:line="240" w:lineRule="auto"/>
              <w:jc w:val="left"/>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公允价值(元)</w:t>
            </w:r>
          </w:p>
        </w:tc>
        <w:tc>
          <w:tcPr>
            <w:tcW w:w="992" w:type="pct"/>
            <w:shd w:val="clear" w:color="auto" w:fill="D9D9D9"/>
            <w:vAlign w:val="center"/>
          </w:tcPr>
          <w:p w14:paraId="3D49D0F9">
            <w:pPr>
              <w:spacing w:line="240" w:lineRule="auto"/>
              <w:jc w:val="left"/>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占基金资产净值比例(%)</w:t>
            </w:r>
          </w:p>
        </w:tc>
      </w:tr>
      <w:tr w14:paraId="5387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44BFEB73">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w:t>
            </w:r>
          </w:p>
        </w:tc>
        <w:tc>
          <w:tcPr>
            <w:tcW w:w="703" w:type="pct"/>
          </w:tcPr>
          <w:p w14:paraId="729B9D38">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240202</w:t>
            </w:r>
          </w:p>
        </w:tc>
        <w:tc>
          <w:tcPr>
            <w:tcW w:w="782" w:type="pct"/>
          </w:tcPr>
          <w:p w14:paraId="20E1B7A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24国开02</w:t>
            </w:r>
          </w:p>
        </w:tc>
        <w:tc>
          <w:tcPr>
            <w:tcW w:w="792" w:type="pct"/>
          </w:tcPr>
          <w:p w14:paraId="1DE87C20">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300,000</w:t>
            </w:r>
          </w:p>
        </w:tc>
        <w:tc>
          <w:tcPr>
            <w:tcW w:w="1175" w:type="pct"/>
          </w:tcPr>
          <w:p w14:paraId="4A2C1A7D">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30,378,402.74</w:t>
            </w:r>
          </w:p>
        </w:tc>
        <w:tc>
          <w:tcPr>
            <w:tcW w:w="992" w:type="pct"/>
          </w:tcPr>
          <w:p w14:paraId="1BF1B6DF">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29.21</w:t>
            </w:r>
          </w:p>
        </w:tc>
      </w:tr>
      <w:tr w14:paraId="3FDA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0FE99683">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w:t>
            </w:r>
          </w:p>
        </w:tc>
        <w:tc>
          <w:tcPr>
            <w:tcW w:w="703" w:type="pct"/>
          </w:tcPr>
          <w:p w14:paraId="2DCE6DB3">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240303</w:t>
            </w:r>
          </w:p>
        </w:tc>
        <w:tc>
          <w:tcPr>
            <w:tcW w:w="782" w:type="pct"/>
          </w:tcPr>
          <w:p w14:paraId="484EDD14">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24进出03</w:t>
            </w:r>
          </w:p>
        </w:tc>
        <w:tc>
          <w:tcPr>
            <w:tcW w:w="792" w:type="pct"/>
          </w:tcPr>
          <w:p w14:paraId="1F583586">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200,000</w:t>
            </w:r>
          </w:p>
        </w:tc>
        <w:tc>
          <w:tcPr>
            <w:tcW w:w="1175" w:type="pct"/>
          </w:tcPr>
          <w:p w14:paraId="0085FF15">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20,505,884.93</w:t>
            </w:r>
          </w:p>
        </w:tc>
        <w:tc>
          <w:tcPr>
            <w:tcW w:w="992" w:type="pct"/>
          </w:tcPr>
          <w:p w14:paraId="128C2EA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19.72</w:t>
            </w:r>
          </w:p>
        </w:tc>
      </w:tr>
      <w:tr w14:paraId="7D59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42AC8F6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3</w:t>
            </w:r>
          </w:p>
        </w:tc>
        <w:tc>
          <w:tcPr>
            <w:tcW w:w="703" w:type="pct"/>
          </w:tcPr>
          <w:p w14:paraId="618913A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250208</w:t>
            </w:r>
          </w:p>
        </w:tc>
        <w:tc>
          <w:tcPr>
            <w:tcW w:w="782" w:type="pct"/>
          </w:tcPr>
          <w:p w14:paraId="143BD6AF">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25国开08</w:t>
            </w:r>
          </w:p>
        </w:tc>
        <w:tc>
          <w:tcPr>
            <w:tcW w:w="792" w:type="pct"/>
          </w:tcPr>
          <w:p w14:paraId="7B89848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200,000</w:t>
            </w:r>
          </w:p>
        </w:tc>
        <w:tc>
          <w:tcPr>
            <w:tcW w:w="1175" w:type="pct"/>
          </w:tcPr>
          <w:p w14:paraId="33C48799">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20,166,400.00</w:t>
            </w:r>
          </w:p>
        </w:tc>
        <w:tc>
          <w:tcPr>
            <w:tcW w:w="992" w:type="pct"/>
          </w:tcPr>
          <w:p w14:paraId="6472C2AE">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19.39</w:t>
            </w:r>
          </w:p>
        </w:tc>
      </w:tr>
      <w:tr w14:paraId="609C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43900737">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4</w:t>
            </w:r>
          </w:p>
        </w:tc>
        <w:tc>
          <w:tcPr>
            <w:tcW w:w="703" w:type="pct"/>
          </w:tcPr>
          <w:p w14:paraId="02D91E06">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260205</w:t>
            </w:r>
          </w:p>
        </w:tc>
        <w:tc>
          <w:tcPr>
            <w:tcW w:w="782" w:type="pct"/>
          </w:tcPr>
          <w:p w14:paraId="38191211">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26国开05</w:t>
            </w:r>
          </w:p>
        </w:tc>
        <w:tc>
          <w:tcPr>
            <w:tcW w:w="792" w:type="pct"/>
          </w:tcPr>
          <w:p w14:paraId="639C5B52">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200,000</w:t>
            </w:r>
          </w:p>
        </w:tc>
        <w:tc>
          <w:tcPr>
            <w:tcW w:w="1175" w:type="pct"/>
          </w:tcPr>
          <w:p w14:paraId="41570270">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19,983,353.42</w:t>
            </w:r>
          </w:p>
        </w:tc>
        <w:tc>
          <w:tcPr>
            <w:tcW w:w="992" w:type="pct"/>
          </w:tcPr>
          <w:p w14:paraId="35815E3A">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19.22</w:t>
            </w:r>
          </w:p>
        </w:tc>
      </w:tr>
      <w:tr w14:paraId="1CBA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pct"/>
          </w:tcPr>
          <w:p w14:paraId="2209F46F">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5</w:t>
            </w:r>
          </w:p>
        </w:tc>
        <w:tc>
          <w:tcPr>
            <w:tcW w:w="703" w:type="pct"/>
          </w:tcPr>
          <w:p w14:paraId="19181EE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210408</w:t>
            </w:r>
          </w:p>
        </w:tc>
        <w:tc>
          <w:tcPr>
            <w:tcW w:w="782" w:type="pct"/>
          </w:tcPr>
          <w:p w14:paraId="1A2DEE86">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21农发08</w:t>
            </w:r>
          </w:p>
        </w:tc>
        <w:tc>
          <w:tcPr>
            <w:tcW w:w="792" w:type="pct"/>
          </w:tcPr>
          <w:p w14:paraId="4FABC1CE">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100,000</w:t>
            </w:r>
          </w:p>
        </w:tc>
        <w:tc>
          <w:tcPr>
            <w:tcW w:w="1175" w:type="pct"/>
          </w:tcPr>
          <w:p w14:paraId="73831E5D">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10,248,868.49</w:t>
            </w:r>
          </w:p>
        </w:tc>
        <w:tc>
          <w:tcPr>
            <w:tcW w:w="992" w:type="pct"/>
          </w:tcPr>
          <w:p w14:paraId="699679A0">
            <w:pPr>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9.86</w:t>
            </w:r>
          </w:p>
        </w:tc>
      </w:tr>
    </w:tbl>
    <w:p w14:paraId="2FD71035">
      <w:pPr>
        <w:rPr>
          <w:rFonts w:hint="eastAsia" w:asciiTheme="minorEastAsia" w:hAnsiTheme="minorEastAsia" w:eastAsiaTheme="minorEastAsia" w:cstheme="minorEastAsia"/>
          <w:bCs/>
          <w:color w:val="000000"/>
          <w:sz w:val="24"/>
          <w:lang w:eastAsia="zh-CN"/>
        </w:rPr>
      </w:pPr>
    </w:p>
    <w:p w14:paraId="336B4D8A">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6 报告期末按公允价值占基金资产净值比例大小排序的前十名资产支持证券投资明细</w:t>
      </w:r>
    </w:p>
    <w:p w14:paraId="4835667D">
      <w:pPr>
        <w:ind w:firstLine="480" w:firstLineChars="200"/>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本基金本报告期末未持有资产支持证券。</w:t>
      </w:r>
    </w:p>
    <w:p w14:paraId="12EDB0DA">
      <w:pPr>
        <w:rPr>
          <w:rFonts w:hint="eastAsia" w:asciiTheme="minorEastAsia" w:hAnsiTheme="minorEastAsia" w:eastAsiaTheme="minorEastAsia" w:cstheme="minorEastAsia"/>
          <w:bCs/>
          <w:color w:val="000000"/>
          <w:sz w:val="24"/>
          <w:lang w:eastAsia="zh-CN"/>
        </w:rPr>
      </w:pPr>
    </w:p>
    <w:p w14:paraId="7098F43C">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7 报告期末按公允价值占基金资产净值比例大小排序的前五名贵金属投资明细</w:t>
      </w:r>
    </w:p>
    <w:p w14:paraId="61A618D0">
      <w:pPr>
        <w:ind w:firstLine="480" w:firstLineChars="200"/>
        <w:rPr>
          <w:rFonts w:hint="eastAsia" w:asciiTheme="minorEastAsia" w:hAnsiTheme="minorEastAsia" w:eastAsiaTheme="minorEastAsia" w:cstheme="minorEastAsia"/>
          <w:b w:val="0"/>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本基金本报告期末未持有贵金属。</w:t>
      </w:r>
    </w:p>
    <w:p w14:paraId="76D1F4FD">
      <w:pPr>
        <w:rPr>
          <w:rFonts w:hint="eastAsia" w:asciiTheme="minorEastAsia" w:hAnsiTheme="minorEastAsia" w:eastAsiaTheme="minorEastAsia" w:cstheme="minorEastAsia"/>
          <w:bCs/>
          <w:color w:val="000000"/>
          <w:sz w:val="24"/>
          <w:lang w:eastAsia="zh-CN"/>
        </w:rPr>
      </w:pPr>
    </w:p>
    <w:p w14:paraId="0F6A81DB">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8 报告期末按公允价值占基金资产净值比例大小排序的前五名权证投资明细</w:t>
      </w:r>
    </w:p>
    <w:p w14:paraId="0E2042FE">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本基金本报告期末未持有权证。</w:t>
      </w:r>
    </w:p>
    <w:p w14:paraId="122782B0">
      <w:pPr>
        <w:rPr>
          <w:rFonts w:hint="eastAsia" w:asciiTheme="minorEastAsia" w:hAnsiTheme="minorEastAsia" w:eastAsiaTheme="minorEastAsia" w:cstheme="minorEastAsia"/>
          <w:bCs/>
          <w:color w:val="000000"/>
          <w:sz w:val="24"/>
          <w:lang w:eastAsia="zh-CN"/>
        </w:rPr>
      </w:pPr>
    </w:p>
    <w:p w14:paraId="56393E5E">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9 报告期末本基金投资的股指期货交易情况说明</w:t>
      </w:r>
    </w:p>
    <w:p w14:paraId="2688E2A4">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9.1 报告期末本基金投资的股指期货持仓和损益明细</w:t>
      </w:r>
    </w:p>
    <w:p w14:paraId="106D0206">
      <w:pPr>
        <w:ind w:firstLine="480" w:firstLineChars="200"/>
      </w:pPr>
      <w:r>
        <w:rPr>
          <w:rFonts w:hint="eastAsia" w:asciiTheme="minorEastAsia" w:hAnsiTheme="minorEastAsia" w:eastAsiaTheme="minorEastAsia" w:cstheme="minorEastAsia"/>
          <w:b w:val="0"/>
          <w:bCs/>
          <w:color w:val="000000"/>
          <w:sz w:val="24"/>
          <w:lang w:eastAsia="zh-CN"/>
        </w:rPr>
        <w:t>本基金本报告期末未持有股指期货。</w:t>
      </w:r>
    </w:p>
    <w:p w14:paraId="4C22CCF3">
      <w:pPr>
        <w:rPr>
          <w:rFonts w:hint="eastAsia" w:asciiTheme="minorEastAsia" w:hAnsiTheme="minorEastAsia" w:eastAsiaTheme="minorEastAsia" w:cstheme="minorEastAsia"/>
          <w:bCs/>
          <w:color w:val="000000"/>
          <w:sz w:val="24"/>
          <w:lang w:eastAsia="zh-CN"/>
        </w:rPr>
      </w:pPr>
    </w:p>
    <w:p w14:paraId="04012124">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9.2 本基金投资股指期货的投资政策</w:t>
      </w:r>
    </w:p>
    <w:p w14:paraId="13A378F4">
      <w:pPr>
        <w:ind w:firstLine="480" w:firstLineChars="200"/>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本基金本报告期末未持有股指期货。</w:t>
      </w:r>
    </w:p>
    <w:p w14:paraId="4D7ED327">
      <w:pPr>
        <w:rPr>
          <w:rFonts w:hint="eastAsia" w:asciiTheme="minorEastAsia" w:hAnsiTheme="minorEastAsia" w:eastAsiaTheme="minorEastAsia" w:cstheme="minorEastAsia"/>
          <w:bCs/>
          <w:color w:val="000000"/>
          <w:sz w:val="24"/>
          <w:lang w:eastAsia="zh-CN"/>
        </w:rPr>
      </w:pPr>
    </w:p>
    <w:p w14:paraId="7CE5ADC3">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10 报告期末本基金投资的国债期货交易情况说明</w:t>
      </w:r>
    </w:p>
    <w:p w14:paraId="2FEE9AE5">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10.1 本期国债期货投资政策</w:t>
      </w:r>
    </w:p>
    <w:p w14:paraId="369C029B">
      <w:pPr>
        <w:ind w:firstLine="480" w:firstLineChars="200"/>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本基金本报告期末未持有国债期货。</w:t>
      </w:r>
    </w:p>
    <w:p w14:paraId="5EF0BB49">
      <w:pPr>
        <w:rPr>
          <w:rFonts w:hint="eastAsia" w:asciiTheme="minorEastAsia" w:hAnsiTheme="minorEastAsia" w:eastAsiaTheme="minorEastAsia" w:cstheme="minorEastAsia"/>
          <w:bCs/>
          <w:color w:val="000000"/>
          <w:sz w:val="24"/>
          <w:lang w:eastAsia="zh-CN"/>
        </w:rPr>
      </w:pPr>
    </w:p>
    <w:p w14:paraId="39FC8E03">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10.2 报告期末本基金投资的国债期货持仓和损益明细</w:t>
      </w:r>
    </w:p>
    <w:p w14:paraId="4DF0060A">
      <w:pPr>
        <w:ind w:firstLine="480" w:firstLineChars="200"/>
        <w:rPr>
          <w:rFonts w:hint="eastAsia" w:asciiTheme="minorEastAsia" w:hAnsiTheme="minorEastAsia" w:eastAsiaTheme="minorEastAsia" w:cstheme="minorEastAsia"/>
          <w:b w:val="0"/>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本基金本报告期末未持有国债期货。</w:t>
      </w:r>
    </w:p>
    <w:p w14:paraId="471193EE">
      <w:pPr>
        <w:rPr>
          <w:rFonts w:hint="eastAsia" w:asciiTheme="minorEastAsia" w:hAnsiTheme="minorEastAsia" w:eastAsiaTheme="minorEastAsia" w:cstheme="minorEastAsia"/>
          <w:bCs/>
          <w:color w:val="000000"/>
          <w:sz w:val="24"/>
          <w:lang w:eastAsia="zh-CN"/>
        </w:rPr>
      </w:pPr>
    </w:p>
    <w:p w14:paraId="5FC58D94">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10.3 本期国债期货投资评价</w:t>
      </w:r>
    </w:p>
    <w:p w14:paraId="261B5437">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val="en-US" w:eastAsia="zh-CN"/>
        </w:rPr>
        <w:t xml:space="preserve">    本</w:t>
      </w:r>
      <w:r>
        <w:rPr>
          <w:rFonts w:hint="eastAsia" w:asciiTheme="minorEastAsia" w:hAnsiTheme="minorEastAsia" w:eastAsiaTheme="minorEastAsia" w:cstheme="minorEastAsia"/>
          <w:b w:val="0"/>
          <w:bCs/>
          <w:color w:val="000000"/>
          <w:sz w:val="24"/>
          <w:lang w:eastAsia="zh-CN"/>
        </w:rPr>
        <w:t>基金本报告期末未持有国债期货。</w:t>
      </w:r>
    </w:p>
    <w:p w14:paraId="257A7F2B">
      <w:pPr>
        <w:rPr>
          <w:rFonts w:hint="eastAsia" w:asciiTheme="minorEastAsia" w:hAnsiTheme="minorEastAsia" w:eastAsiaTheme="minorEastAsia" w:cstheme="minorEastAsia"/>
          <w:bCs/>
          <w:color w:val="000000"/>
          <w:sz w:val="24"/>
          <w:lang w:eastAsia="zh-CN"/>
        </w:rPr>
      </w:pPr>
    </w:p>
    <w:p w14:paraId="2A6ABA00">
      <w:pPr>
        <w:rPr>
          <w:rFonts w:hint="eastAsia" w:asciiTheme="minorEastAsia" w:hAnsiTheme="minorEastAsia" w:eastAsiaTheme="minorEastAsia" w:cstheme="minorEastAsia"/>
          <w:b w:val="0"/>
          <w:bCs/>
          <w:color w:val="000000"/>
          <w:sz w:val="24"/>
          <w:szCs w:val="22"/>
          <w:lang w:eastAsia="zh-CN"/>
        </w:rPr>
      </w:pPr>
      <w:r>
        <w:rPr>
          <w:rFonts w:hint="eastAsia" w:asciiTheme="minorEastAsia" w:hAnsiTheme="minorEastAsia" w:eastAsiaTheme="minorEastAsia" w:cstheme="minorEastAsia"/>
          <w:b w:val="0"/>
          <w:bCs/>
          <w:color w:val="000000"/>
          <w:sz w:val="24"/>
          <w:szCs w:val="22"/>
          <w:lang w:eastAsia="zh-CN"/>
        </w:rPr>
        <w:t>11 投资组合报告附注</w:t>
      </w:r>
    </w:p>
    <w:p w14:paraId="6F02817F">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11.1 本基金投资的前十名证券的发行主体本期受到监管部门立案调查或报告编制日前一年内受到公开谴责、处罚的情形说明</w:t>
      </w:r>
    </w:p>
    <w:p w14:paraId="77EACEE8">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 xml:space="preserve">    基金投资的前十名证券的发行主体中，国家开发银行、中国进出口银行在报告编制日前一年内曾受到中国人民银行、国家外汇管理局北京市分局的处罚，中国农业发展银行在报告编制日前一年内曾受到国家金融监督管理总局或其派出机构的处罚。</w:t>
      </w:r>
      <w:r>
        <w:rPr>
          <w:rFonts w:hint="eastAsia" w:asciiTheme="minorEastAsia" w:hAnsiTheme="minorEastAsia" w:eastAsiaTheme="minorEastAsia" w:cstheme="minorEastAsia"/>
          <w:b w:val="0"/>
          <w:bCs/>
          <w:color w:val="000000"/>
          <w:sz w:val="24"/>
          <w:lang w:eastAsia="zh-CN"/>
        </w:rPr>
        <w:cr/>
      </w:r>
      <w:r>
        <w:rPr>
          <w:rFonts w:hint="eastAsia" w:asciiTheme="minorEastAsia" w:hAnsiTheme="minorEastAsia" w:eastAsiaTheme="minorEastAsia" w:cstheme="minorEastAsia"/>
          <w:b w:val="0"/>
          <w:bCs/>
          <w:color w:val="000000"/>
          <w:sz w:val="24"/>
          <w:lang w:eastAsia="zh-CN"/>
        </w:rPr>
        <w:t xml:space="preserve">    本基金对上述主体所发行证券的投资决策程序符合公司投资制度的规定。</w:t>
      </w:r>
    </w:p>
    <w:p w14:paraId="3F4AB69C">
      <w:pPr>
        <w:rPr>
          <w:rFonts w:hint="eastAsia" w:asciiTheme="minorEastAsia" w:hAnsiTheme="minorEastAsia" w:eastAsiaTheme="minorEastAsia" w:cstheme="minorEastAsia"/>
          <w:bCs/>
          <w:color w:val="000000"/>
          <w:sz w:val="24"/>
          <w:lang w:eastAsia="zh-CN"/>
        </w:rPr>
      </w:pPr>
    </w:p>
    <w:p w14:paraId="410C8B1A">
      <w:pPr>
        <w:rPr>
          <w:rFonts w:hint="eastAsia" w:asciiTheme="minorEastAsia" w:hAnsiTheme="minorEastAsia" w:eastAsiaTheme="minorEastAsia" w:cstheme="minorEastAsia"/>
          <w:bCs/>
          <w:color w:val="000000"/>
          <w:sz w:val="24"/>
          <w:lang w:eastAsia="zh-CN"/>
        </w:rPr>
      </w:pPr>
    </w:p>
    <w:p w14:paraId="45B6CE0A">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11.2 基金投资的前十名股票超出基金合同规定的备选股票库情况的说明</w:t>
      </w:r>
    </w:p>
    <w:p w14:paraId="029FC44D">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 xml:space="preserve">    本基金本报告期未持有股票。</w:t>
      </w:r>
    </w:p>
    <w:p w14:paraId="026CBBC0">
      <w:pPr>
        <w:numPr>
          <w:ilvl w:val="0"/>
          <w:numId w:val="0"/>
        </w:numPr>
        <w:spacing w:line="424" w:lineRule="auto"/>
        <w:rPr>
          <w:rFonts w:hint="eastAsia" w:asciiTheme="minorEastAsia" w:hAnsiTheme="minorEastAsia" w:eastAsiaTheme="minorEastAsia" w:cstheme="minorEastAsia"/>
          <w:bCs/>
          <w:color w:val="000000"/>
          <w:sz w:val="24"/>
          <w:szCs w:val="22"/>
          <w:lang w:eastAsia="zh-CN"/>
        </w:rPr>
      </w:pPr>
    </w:p>
    <w:p w14:paraId="2590BFA5">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11.3 其他资产构成</w:t>
      </w:r>
    </w:p>
    <w:p w14:paraId="663E2E78">
      <w:pPr>
        <w:ind w:firstLine="480" w:firstLineChars="200"/>
        <w:rPr>
          <w:rFonts w:hint="eastAsia" w:asciiTheme="minorEastAsia" w:hAnsiTheme="minorEastAsia" w:eastAsiaTheme="minorEastAsia" w:cstheme="minorEastAsia"/>
          <w:b w:val="0"/>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本基金本报告期末未持有其他资产。</w:t>
      </w:r>
    </w:p>
    <w:p w14:paraId="20047C4E">
      <w:pPr>
        <w:rPr>
          <w:rFonts w:ascii="宋体" w:hAnsi="宋体" w:eastAsia="宋体" w:cs="宋体"/>
          <w:b w:val="0"/>
        </w:rPr>
      </w:pPr>
    </w:p>
    <w:p w14:paraId="5F9A444B">
      <w:pPr>
        <w:rPr>
          <w:rFonts w:hint="eastAsia" w:ascii="宋体" w:hAnsi="宋体" w:eastAsia="宋体" w:cs="宋体"/>
          <w:b w:val="0"/>
          <w:lang w:eastAsia="zh-CN"/>
        </w:rPr>
      </w:pPr>
    </w:p>
    <w:p w14:paraId="13BBBB83">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11.4 报告期末持有的处于转股期的可转换债券明细</w:t>
      </w:r>
    </w:p>
    <w:p w14:paraId="2910AE7B">
      <w:pPr>
        <w:ind w:left="440" w:leftChars="200"/>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本基金本报告期末未持有处于转股期的可转换债券。</w:t>
      </w:r>
    </w:p>
    <w:p w14:paraId="2A9C403A">
      <w:pPr>
        <w:rPr>
          <w:rFonts w:hint="eastAsia" w:asciiTheme="minorEastAsia" w:hAnsiTheme="minorEastAsia" w:eastAsiaTheme="minorEastAsia" w:cstheme="minorEastAsia"/>
          <w:bCs/>
          <w:color w:val="000000"/>
          <w:sz w:val="24"/>
          <w:lang w:eastAsia="zh-CN"/>
        </w:rPr>
      </w:pPr>
    </w:p>
    <w:p w14:paraId="58626C19">
      <w:pPr>
        <w:rPr>
          <w:rFonts w:hint="eastAsia" w:asciiTheme="minorEastAsia" w:hAnsiTheme="minorEastAsia" w:eastAsiaTheme="minorEastAsia" w:cstheme="minorEastAsia"/>
          <w:bCs/>
          <w:color w:val="000000"/>
          <w:sz w:val="24"/>
          <w:lang w:eastAsia="zh-CN"/>
        </w:rPr>
      </w:pPr>
    </w:p>
    <w:p w14:paraId="1CE124AF">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11.5 报告期末前十名股票中存在流通受限情况的说明</w:t>
      </w:r>
    </w:p>
    <w:p w14:paraId="5B10B10A">
      <w:pPr>
        <w:ind w:left="440" w:leftChars="200"/>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本基金本报告期末未持有股票。</w:t>
      </w:r>
    </w:p>
    <w:p w14:paraId="0504A988">
      <w:pPr>
        <w:rPr>
          <w:rFonts w:hint="eastAsia" w:asciiTheme="minorEastAsia" w:hAnsiTheme="minorEastAsia" w:eastAsiaTheme="minorEastAsia" w:cstheme="minorEastAsia"/>
          <w:bCs/>
          <w:color w:val="000000"/>
          <w:sz w:val="24"/>
          <w:lang w:eastAsia="zh-CN"/>
        </w:rPr>
      </w:pPr>
    </w:p>
    <w:p w14:paraId="03B22179">
      <w:pPr>
        <w:rPr>
          <w:rFonts w:hint="eastAsia" w:asciiTheme="minorEastAsia" w:hAnsiTheme="minorEastAsia" w:eastAsiaTheme="minorEastAsia" w:cstheme="minorEastAsia"/>
          <w:bCs/>
          <w:color w:val="000000"/>
          <w:sz w:val="24"/>
          <w:lang w:eastAsia="zh-CN"/>
        </w:rPr>
      </w:pPr>
    </w:p>
    <w:p w14:paraId="22EF8AF4">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11.6 投资组合报告附注的其他文字描述部分</w:t>
      </w:r>
    </w:p>
    <w:p w14:paraId="4A35B960">
      <w:pPr>
        <w:rPr>
          <w:rFonts w:hint="eastAsia" w:asciiTheme="minorEastAsia" w:hAnsiTheme="minorEastAsia" w:eastAsiaTheme="minorEastAsia" w:cstheme="minorEastAsia"/>
          <w:bCs/>
          <w:color w:val="000000"/>
          <w:sz w:val="24"/>
          <w:lang w:eastAsia="zh-CN"/>
        </w:rPr>
      </w:pPr>
      <w:r>
        <w:rPr>
          <w:rFonts w:hint="eastAsia" w:asciiTheme="minorEastAsia" w:hAnsiTheme="minorEastAsia" w:eastAsiaTheme="minorEastAsia" w:cstheme="minorEastAsia"/>
          <w:b w:val="0"/>
          <w:bCs/>
          <w:color w:val="000000"/>
          <w:sz w:val="24"/>
          <w:lang w:eastAsia="zh-CN"/>
        </w:rPr>
        <w:t xml:space="preserve">    由于四舍五入的原因，本报告分项之和与合计项之间可能有尾差。</w:t>
      </w:r>
    </w:p>
    <w:p w14:paraId="3961C2F3">
      <w:pPr>
        <w:spacing w:line="240" w:lineRule="auto"/>
        <w:rPr>
          <w:rFonts w:hint="eastAsia" w:asciiTheme="minorEastAsia" w:hAnsiTheme="minorEastAsia" w:eastAsiaTheme="minorEastAsia" w:cstheme="minorEastAsia"/>
          <w:bCs/>
          <w:color w:val="000000"/>
          <w:sz w:val="24"/>
          <w:szCs w:val="22"/>
          <w:lang w:eastAsia="zh-CN"/>
        </w:rPr>
      </w:pPr>
    </w:p>
    <w:p w14:paraId="2D5A3C72">
      <w:pPr>
        <w:spacing w:line="360" w:lineRule="auto"/>
        <w:ind w:left="-147" w:leftChars="-67" w:firstLine="720" w:firstLineChars="3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十、基金的业绩</w:t>
      </w:r>
    </w:p>
    <w:p w14:paraId="6CDF66EE">
      <w:pPr>
        <w:adjustRightInd w:val="0"/>
        <w:snapToGrid w:val="0"/>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基金管理人依照恪尽职守、诚实信用、谨慎勤勉的原则管理和运用基金财产，但不保证基金一定盈利</w:t>
      </w:r>
      <w:r>
        <w:rPr>
          <w:rFonts w:hint="eastAsia" w:asciiTheme="minorEastAsia" w:hAnsiTheme="minorEastAsia" w:eastAsiaTheme="minorEastAsia" w:cstheme="minorEastAsia"/>
          <w:spacing w:val="-88"/>
          <w:sz w:val="24"/>
          <w:szCs w:val="24"/>
          <w:lang w:eastAsia="zh-CN"/>
        </w:rPr>
        <w:t>，</w:t>
      </w:r>
      <w:r>
        <w:rPr>
          <w:rFonts w:hint="eastAsia" w:asciiTheme="minorEastAsia" w:hAnsiTheme="minorEastAsia" w:eastAsiaTheme="minorEastAsia" w:cstheme="minorEastAsia"/>
          <w:sz w:val="24"/>
          <w:szCs w:val="24"/>
          <w:lang w:eastAsia="zh-CN"/>
        </w:rPr>
        <w:t>也不保证最低收益</w:t>
      </w:r>
      <w:r>
        <w:rPr>
          <w:rFonts w:hint="eastAsia" w:asciiTheme="minorEastAsia" w:hAnsiTheme="minorEastAsia" w:eastAsiaTheme="minorEastAsia" w:cstheme="minorEastAsia"/>
          <w:spacing w:val="-88"/>
          <w:sz w:val="24"/>
          <w:szCs w:val="24"/>
          <w:lang w:eastAsia="zh-CN"/>
        </w:rPr>
        <w:t>。</w:t>
      </w:r>
      <w:r>
        <w:rPr>
          <w:rFonts w:hint="eastAsia" w:asciiTheme="minorEastAsia" w:hAnsiTheme="minorEastAsia" w:eastAsiaTheme="minorEastAsia" w:cstheme="minorEastAsia"/>
          <w:sz w:val="24"/>
          <w:szCs w:val="24"/>
          <w:lang w:eastAsia="zh-CN"/>
        </w:rPr>
        <w:t>基金的过往业绩并不代表其未来表现。投资有风险，投资者在做出投资决策前应仔细阅读本基金的招募说明书。</w:t>
      </w:r>
    </w:p>
    <w:p w14:paraId="5A68DC4D">
      <w:pPr>
        <w:adjustRightInd w:val="0"/>
        <w:snapToGrid w:val="0"/>
        <w:spacing w:line="360" w:lineRule="auto"/>
        <w:ind w:firstLine="480" w:firstLineChars="200"/>
        <w:rPr>
          <w:rFonts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sz w:val="24"/>
          <w:szCs w:val="24"/>
          <w:lang w:eastAsia="zh-CN"/>
        </w:rPr>
        <w:t>本报告期基</w:t>
      </w:r>
      <w:r>
        <w:rPr>
          <w:rFonts w:hint="eastAsia" w:asciiTheme="minorEastAsia" w:hAnsiTheme="minorEastAsia" w:eastAsiaTheme="minorEastAsia" w:cstheme="minorEastAsia"/>
          <w:color w:val="000000"/>
          <w:sz w:val="24"/>
          <w:szCs w:val="24"/>
          <w:lang w:eastAsia="zh-CN"/>
        </w:rPr>
        <w:t>份额净值增长率及其与同期业绩比较基准收益率的比较：</w:t>
      </w:r>
    </w:p>
    <w:p w14:paraId="04395460">
      <w:pPr>
        <w:spacing w:line="240" w:lineRule="auto"/>
        <w:rPr>
          <w:rFonts w:hint="eastAsia" w:asciiTheme="minorEastAsia" w:hAnsiTheme="minorEastAsia" w:eastAsiaTheme="minorEastAsia" w:cstheme="minorEastAsia"/>
          <w:bCs/>
          <w:color w:val="000000"/>
          <w:sz w:val="24"/>
          <w:szCs w:val="22"/>
          <w:lang w:eastAsia="zh-CN"/>
        </w:rPr>
      </w:pPr>
    </w:p>
    <w:tbl>
      <w:tblPr>
        <w:tblStyle w:val="24"/>
        <w:tblW w:w="8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065"/>
        <w:gridCol w:w="1276"/>
        <w:gridCol w:w="1276"/>
        <w:gridCol w:w="1701"/>
        <w:gridCol w:w="948"/>
        <w:gridCol w:w="1186"/>
      </w:tblGrid>
      <w:tr w14:paraId="3766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vAlign w:val="center"/>
          </w:tcPr>
          <w:p w14:paraId="73E0071F">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阶段</w:t>
            </w:r>
          </w:p>
        </w:tc>
        <w:tc>
          <w:tcPr>
            <w:tcW w:w="1065" w:type="dxa"/>
            <w:vAlign w:val="center"/>
          </w:tcPr>
          <w:p w14:paraId="503E3180">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净值增长率①</w:t>
            </w:r>
          </w:p>
        </w:tc>
        <w:tc>
          <w:tcPr>
            <w:tcW w:w="1276" w:type="dxa"/>
            <w:vAlign w:val="center"/>
          </w:tcPr>
          <w:p w14:paraId="5B0207FB">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净值增长率标准差②</w:t>
            </w:r>
          </w:p>
        </w:tc>
        <w:tc>
          <w:tcPr>
            <w:tcW w:w="1276" w:type="dxa"/>
            <w:vAlign w:val="center"/>
          </w:tcPr>
          <w:p w14:paraId="7F6A2C2E">
            <w:pPr>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业绩比较基准收益率③</w:t>
            </w:r>
          </w:p>
        </w:tc>
        <w:tc>
          <w:tcPr>
            <w:tcW w:w="1701" w:type="dxa"/>
            <w:vAlign w:val="center"/>
          </w:tcPr>
          <w:p w14:paraId="0EEDE1E2">
            <w:pPr>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业绩比较基准收益率标准差④</w:t>
            </w:r>
          </w:p>
        </w:tc>
        <w:tc>
          <w:tcPr>
            <w:tcW w:w="948" w:type="dxa"/>
            <w:vAlign w:val="center"/>
          </w:tcPr>
          <w:p w14:paraId="387C067F">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①-③</w:t>
            </w:r>
          </w:p>
        </w:tc>
        <w:tc>
          <w:tcPr>
            <w:tcW w:w="1186" w:type="dxa"/>
            <w:vAlign w:val="center"/>
          </w:tcPr>
          <w:p w14:paraId="784D97EB">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②-④</w:t>
            </w:r>
          </w:p>
        </w:tc>
      </w:tr>
      <w:tr w14:paraId="6450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tcPr>
          <w:p w14:paraId="67F001C1">
            <w:pPr>
              <w:widowControl/>
              <w:jc w:val="center"/>
              <w:textAlignment w:val="top"/>
              <w:rPr>
                <w:rFonts w:hint="default" w:asciiTheme="minorEastAsia" w:hAnsiTheme="minorEastAsia" w:eastAsiaTheme="minorEastAsia" w:cstheme="minorEastAsia"/>
                <w:color w:val="000000"/>
                <w:sz w:val="24"/>
                <w:szCs w:val="24"/>
                <w:lang w:val="en-US" w:eastAsia="zh-CN" w:bidi="ar"/>
              </w:rPr>
            </w:pPr>
            <w:r>
              <w:rPr>
                <w:rFonts w:hint="eastAsia" w:asciiTheme="minorEastAsia" w:hAnsiTheme="minorEastAsia" w:eastAsiaTheme="minorEastAsia" w:cstheme="minorEastAsia"/>
                <w:color w:val="000000"/>
                <w:sz w:val="24"/>
                <w:szCs w:val="24"/>
                <w:lang w:eastAsia="zh-CN" w:bidi="ar"/>
              </w:rPr>
              <w:t>202</w:t>
            </w:r>
            <w:r>
              <w:rPr>
                <w:rFonts w:hint="eastAsia" w:asciiTheme="minorEastAsia" w:hAnsiTheme="minorEastAsia" w:eastAsiaTheme="minorEastAsia" w:cstheme="minorEastAsia"/>
                <w:color w:val="000000"/>
                <w:sz w:val="24"/>
                <w:szCs w:val="24"/>
                <w:lang w:val="en-US" w:eastAsia="zh-CN" w:bidi="ar"/>
              </w:rPr>
              <w:t>3</w:t>
            </w:r>
            <w:r>
              <w:rPr>
                <w:rFonts w:hint="eastAsia" w:asciiTheme="minorEastAsia" w:hAnsiTheme="minorEastAsia" w:eastAsiaTheme="minorEastAsia" w:cstheme="minorEastAsia"/>
                <w:color w:val="000000"/>
                <w:sz w:val="24"/>
                <w:szCs w:val="24"/>
                <w:lang w:eastAsia="zh-CN" w:bidi="ar"/>
              </w:rPr>
              <w:t>年</w:t>
            </w:r>
            <w:r>
              <w:rPr>
                <w:rFonts w:hint="eastAsia" w:asciiTheme="minorEastAsia" w:hAnsiTheme="minorEastAsia" w:eastAsiaTheme="minorEastAsia" w:cstheme="minorEastAsia"/>
                <w:color w:val="000000"/>
                <w:sz w:val="24"/>
                <w:szCs w:val="24"/>
                <w:lang w:val="en-US" w:eastAsia="zh-CN" w:bidi="ar"/>
              </w:rPr>
              <w:t>05月18日-2023年12月31日</w:t>
            </w:r>
          </w:p>
        </w:tc>
        <w:tc>
          <w:tcPr>
            <w:tcW w:w="1065" w:type="dxa"/>
            <w:vAlign w:val="top"/>
          </w:tcPr>
          <w:p w14:paraId="786A86BA">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0.98%</w:t>
            </w:r>
          </w:p>
        </w:tc>
        <w:tc>
          <w:tcPr>
            <w:tcW w:w="1276" w:type="dxa"/>
            <w:vAlign w:val="top"/>
          </w:tcPr>
          <w:p w14:paraId="47F38572">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0.05%</w:t>
            </w:r>
          </w:p>
        </w:tc>
        <w:tc>
          <w:tcPr>
            <w:tcW w:w="1276" w:type="dxa"/>
            <w:vAlign w:val="top"/>
          </w:tcPr>
          <w:p w14:paraId="3EB0CF57">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2.28%</w:t>
            </w:r>
          </w:p>
        </w:tc>
        <w:tc>
          <w:tcPr>
            <w:tcW w:w="1701" w:type="dxa"/>
            <w:vAlign w:val="top"/>
          </w:tcPr>
          <w:p w14:paraId="367A1C06">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0.05%</w:t>
            </w:r>
          </w:p>
        </w:tc>
        <w:tc>
          <w:tcPr>
            <w:tcW w:w="948" w:type="dxa"/>
            <w:vAlign w:val="top"/>
          </w:tcPr>
          <w:p w14:paraId="3C3368FD">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-1.30%</w:t>
            </w:r>
          </w:p>
        </w:tc>
        <w:tc>
          <w:tcPr>
            <w:tcW w:w="1186" w:type="dxa"/>
            <w:vAlign w:val="top"/>
          </w:tcPr>
          <w:p w14:paraId="6DB17E20">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0.00%</w:t>
            </w:r>
          </w:p>
        </w:tc>
      </w:tr>
      <w:tr w14:paraId="5E6B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tcPr>
          <w:p w14:paraId="4157EF59">
            <w:pPr>
              <w:widowControl/>
              <w:jc w:val="center"/>
              <w:textAlignment w:val="top"/>
              <w:rPr>
                <w:rFonts w:hint="eastAsia" w:asciiTheme="minorEastAsia" w:hAnsiTheme="minorEastAsia" w:eastAsiaTheme="minorEastAsia" w:cstheme="minorEastAsia"/>
                <w:color w:val="000000"/>
                <w:sz w:val="24"/>
                <w:szCs w:val="24"/>
                <w:lang w:eastAsia="zh-CN" w:bidi="ar"/>
              </w:rPr>
            </w:pPr>
            <w:r>
              <w:rPr>
                <w:rFonts w:hint="eastAsia" w:asciiTheme="minorEastAsia" w:hAnsiTheme="minorEastAsia" w:eastAsiaTheme="minorEastAsia" w:cstheme="minorEastAsia"/>
                <w:color w:val="000000"/>
                <w:sz w:val="24"/>
                <w:szCs w:val="24"/>
                <w:lang w:eastAsia="zh-CN" w:bidi="ar"/>
              </w:rPr>
              <w:t>202</w:t>
            </w:r>
            <w:r>
              <w:rPr>
                <w:rFonts w:hint="eastAsia" w:asciiTheme="minorEastAsia" w:hAnsiTheme="minorEastAsia" w:eastAsiaTheme="minorEastAsia" w:cstheme="minorEastAsia"/>
                <w:color w:val="000000"/>
                <w:sz w:val="24"/>
                <w:szCs w:val="24"/>
                <w:lang w:val="en-US" w:eastAsia="zh-CN" w:bidi="ar"/>
              </w:rPr>
              <w:t>4</w:t>
            </w:r>
            <w:r>
              <w:rPr>
                <w:rFonts w:hint="eastAsia" w:asciiTheme="minorEastAsia" w:hAnsiTheme="minorEastAsia" w:eastAsiaTheme="minorEastAsia" w:cstheme="minorEastAsia"/>
                <w:color w:val="000000"/>
                <w:sz w:val="24"/>
                <w:szCs w:val="24"/>
                <w:lang w:eastAsia="zh-CN" w:bidi="ar"/>
              </w:rPr>
              <w:t>年</w:t>
            </w:r>
          </w:p>
        </w:tc>
        <w:tc>
          <w:tcPr>
            <w:tcW w:w="1065" w:type="dxa"/>
            <w:vAlign w:val="top"/>
          </w:tcPr>
          <w:p w14:paraId="1D91CC00">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val="en-US" w:eastAsia="zh-CN" w:bidi="ar"/>
              </w:rPr>
            </w:pPr>
            <w:r>
              <w:rPr>
                <w:rFonts w:hint="eastAsia" w:asciiTheme="minorEastAsia" w:hAnsiTheme="minorEastAsia" w:eastAsiaTheme="minorEastAsia" w:cstheme="minorEastAsia"/>
                <w:b w:val="0"/>
                <w:color w:val="000000"/>
                <w:sz w:val="24"/>
                <w:szCs w:val="24"/>
                <w:u w:val="none"/>
                <w:lang w:val="en-US" w:eastAsia="zh-CN" w:bidi="ar"/>
              </w:rPr>
              <w:t>4.95</w:t>
            </w:r>
            <w:r>
              <w:rPr>
                <w:rFonts w:hint="eastAsia" w:asciiTheme="minorEastAsia" w:hAnsiTheme="minorEastAsia" w:eastAsiaTheme="minorEastAsia" w:cstheme="minorEastAsia"/>
                <w:b w:val="0"/>
                <w:color w:val="000000"/>
                <w:sz w:val="24"/>
                <w:szCs w:val="24"/>
                <w:u w:val="none"/>
                <w:lang w:eastAsia="zh-CN" w:bidi="ar"/>
              </w:rPr>
              <w:t>%</w:t>
            </w:r>
          </w:p>
        </w:tc>
        <w:tc>
          <w:tcPr>
            <w:tcW w:w="1276" w:type="dxa"/>
            <w:vAlign w:val="top"/>
          </w:tcPr>
          <w:p w14:paraId="6C804661">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val="en-US" w:eastAsia="zh-CN" w:bidi="ar"/>
              </w:rPr>
            </w:pPr>
            <w:r>
              <w:rPr>
                <w:rFonts w:hint="eastAsia" w:asciiTheme="minorEastAsia" w:hAnsiTheme="minorEastAsia" w:eastAsiaTheme="minorEastAsia" w:cstheme="minorEastAsia"/>
                <w:b w:val="0"/>
                <w:color w:val="000000"/>
                <w:sz w:val="24"/>
                <w:szCs w:val="24"/>
                <w:u w:val="none"/>
                <w:lang w:val="en-US" w:eastAsia="zh-CN" w:bidi="ar"/>
              </w:rPr>
              <w:t>0.07</w:t>
            </w:r>
            <w:r>
              <w:rPr>
                <w:rFonts w:hint="eastAsia" w:asciiTheme="minorEastAsia" w:hAnsiTheme="minorEastAsia" w:eastAsiaTheme="minorEastAsia" w:cstheme="minorEastAsia"/>
                <w:b w:val="0"/>
                <w:color w:val="000000"/>
                <w:sz w:val="24"/>
                <w:szCs w:val="24"/>
                <w:u w:val="none"/>
                <w:lang w:eastAsia="zh-CN" w:bidi="ar"/>
              </w:rPr>
              <w:t>%</w:t>
            </w:r>
          </w:p>
        </w:tc>
        <w:tc>
          <w:tcPr>
            <w:tcW w:w="1276" w:type="dxa"/>
            <w:vAlign w:val="top"/>
          </w:tcPr>
          <w:p w14:paraId="2A3D9CC9">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val="en-US" w:eastAsia="zh-CN" w:bidi="ar"/>
              </w:rPr>
            </w:pPr>
            <w:r>
              <w:rPr>
                <w:rFonts w:hint="eastAsia" w:asciiTheme="minorEastAsia" w:hAnsiTheme="minorEastAsia" w:eastAsiaTheme="minorEastAsia" w:cstheme="minorEastAsia"/>
                <w:b w:val="0"/>
                <w:color w:val="000000"/>
                <w:sz w:val="24"/>
                <w:szCs w:val="24"/>
                <w:u w:val="none"/>
                <w:lang w:val="en-US" w:eastAsia="zh-CN" w:bidi="ar"/>
              </w:rPr>
              <w:t>6.61</w:t>
            </w:r>
            <w:r>
              <w:rPr>
                <w:rFonts w:hint="eastAsia" w:asciiTheme="minorEastAsia" w:hAnsiTheme="minorEastAsia" w:eastAsiaTheme="minorEastAsia" w:cstheme="minorEastAsia"/>
                <w:b w:val="0"/>
                <w:color w:val="000000"/>
                <w:sz w:val="24"/>
                <w:szCs w:val="24"/>
                <w:u w:val="none"/>
                <w:lang w:eastAsia="zh-CN" w:bidi="ar"/>
              </w:rPr>
              <w:t>%</w:t>
            </w:r>
          </w:p>
        </w:tc>
        <w:tc>
          <w:tcPr>
            <w:tcW w:w="1701" w:type="dxa"/>
            <w:vAlign w:val="top"/>
          </w:tcPr>
          <w:p w14:paraId="61758C3E">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val="en-US" w:eastAsia="zh-CN" w:bidi="ar"/>
              </w:rPr>
            </w:pPr>
            <w:r>
              <w:rPr>
                <w:rFonts w:hint="eastAsia" w:asciiTheme="minorEastAsia" w:hAnsiTheme="minorEastAsia" w:eastAsiaTheme="minorEastAsia" w:cstheme="minorEastAsia"/>
                <w:b w:val="0"/>
                <w:color w:val="000000"/>
                <w:sz w:val="24"/>
                <w:szCs w:val="24"/>
                <w:u w:val="none"/>
                <w:lang w:val="en-US" w:eastAsia="zh-CN" w:bidi="ar"/>
              </w:rPr>
              <w:t>0.08</w:t>
            </w:r>
            <w:r>
              <w:rPr>
                <w:rFonts w:hint="eastAsia" w:asciiTheme="minorEastAsia" w:hAnsiTheme="minorEastAsia" w:eastAsiaTheme="minorEastAsia" w:cstheme="minorEastAsia"/>
                <w:b w:val="0"/>
                <w:color w:val="000000"/>
                <w:sz w:val="24"/>
                <w:szCs w:val="24"/>
                <w:u w:val="none"/>
                <w:lang w:eastAsia="zh-CN" w:bidi="ar"/>
              </w:rPr>
              <w:t>%</w:t>
            </w:r>
          </w:p>
        </w:tc>
        <w:tc>
          <w:tcPr>
            <w:tcW w:w="948" w:type="dxa"/>
            <w:vAlign w:val="top"/>
          </w:tcPr>
          <w:p w14:paraId="05070A7C">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val="en-US" w:eastAsia="zh-CN" w:bidi="ar"/>
              </w:rPr>
            </w:pPr>
            <w:r>
              <w:rPr>
                <w:rFonts w:hint="eastAsia" w:asciiTheme="minorEastAsia" w:hAnsiTheme="minorEastAsia" w:eastAsiaTheme="minorEastAsia" w:cstheme="minorEastAsia"/>
                <w:b w:val="0"/>
                <w:color w:val="000000"/>
                <w:sz w:val="24"/>
                <w:szCs w:val="24"/>
                <w:u w:val="none"/>
                <w:lang w:val="en-US" w:eastAsia="zh-CN" w:bidi="ar"/>
              </w:rPr>
              <w:t>-1.66</w:t>
            </w:r>
            <w:r>
              <w:rPr>
                <w:rFonts w:hint="eastAsia" w:asciiTheme="minorEastAsia" w:hAnsiTheme="minorEastAsia" w:eastAsiaTheme="minorEastAsia" w:cstheme="minorEastAsia"/>
                <w:b w:val="0"/>
                <w:color w:val="000000"/>
                <w:sz w:val="24"/>
                <w:szCs w:val="24"/>
                <w:u w:val="none"/>
                <w:lang w:eastAsia="zh-CN" w:bidi="ar"/>
              </w:rPr>
              <w:t>%</w:t>
            </w:r>
          </w:p>
        </w:tc>
        <w:tc>
          <w:tcPr>
            <w:tcW w:w="1186" w:type="dxa"/>
            <w:vAlign w:val="top"/>
          </w:tcPr>
          <w:p w14:paraId="08360E6A">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val="en-US" w:eastAsia="zh-CN" w:bidi="ar"/>
              </w:rPr>
            </w:pPr>
            <w:r>
              <w:rPr>
                <w:rFonts w:hint="eastAsia" w:asciiTheme="minorEastAsia" w:hAnsiTheme="minorEastAsia" w:eastAsiaTheme="minorEastAsia" w:cstheme="minorEastAsia"/>
                <w:b w:val="0"/>
                <w:color w:val="000000"/>
                <w:sz w:val="24"/>
                <w:szCs w:val="24"/>
                <w:u w:val="none"/>
                <w:lang w:val="en-US" w:eastAsia="zh-CN" w:bidi="ar"/>
              </w:rPr>
              <w:t>-</w:t>
            </w:r>
            <w:r>
              <w:rPr>
                <w:rFonts w:hint="eastAsia" w:asciiTheme="minorEastAsia" w:hAnsiTheme="minorEastAsia" w:eastAsiaTheme="minorEastAsia" w:cstheme="minorEastAsia"/>
                <w:b w:val="0"/>
                <w:color w:val="000000"/>
                <w:sz w:val="24"/>
                <w:szCs w:val="24"/>
                <w:u w:val="none"/>
                <w:lang w:eastAsia="zh-CN" w:bidi="ar"/>
              </w:rPr>
              <w:t>0.01%</w:t>
            </w:r>
          </w:p>
        </w:tc>
      </w:tr>
      <w:tr w14:paraId="2DC0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tcPr>
          <w:p w14:paraId="27C0E902">
            <w:pPr>
              <w:widowControl/>
              <w:jc w:val="center"/>
              <w:textAlignment w:val="top"/>
              <w:rPr>
                <w:rFonts w:hint="default" w:asciiTheme="minorEastAsia" w:hAnsiTheme="minorEastAsia" w:eastAsiaTheme="minorEastAsia" w:cstheme="minorEastAsia"/>
                <w:color w:val="000000"/>
                <w:sz w:val="24"/>
                <w:szCs w:val="24"/>
                <w:lang w:val="en-US" w:eastAsia="zh-CN" w:bidi="ar"/>
              </w:rPr>
            </w:pPr>
            <w:r>
              <w:rPr>
                <w:rFonts w:hint="eastAsia" w:asciiTheme="minorEastAsia" w:hAnsiTheme="minorEastAsia" w:eastAsiaTheme="minorEastAsia" w:cstheme="minorEastAsia"/>
                <w:color w:val="000000"/>
                <w:sz w:val="24"/>
                <w:szCs w:val="24"/>
                <w:lang w:val="en-US" w:eastAsia="zh-CN" w:bidi="ar"/>
              </w:rPr>
              <w:t>2025年</w:t>
            </w:r>
          </w:p>
        </w:tc>
        <w:tc>
          <w:tcPr>
            <w:tcW w:w="1065" w:type="dxa"/>
            <w:vAlign w:val="top"/>
          </w:tcPr>
          <w:p w14:paraId="38E7AA50">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w:t>
            </w:r>
            <w:r>
              <w:rPr>
                <w:rFonts w:hint="eastAsia" w:asciiTheme="minorEastAsia" w:hAnsiTheme="minorEastAsia" w:eastAsiaTheme="minorEastAsia" w:cstheme="minorEastAsia"/>
                <w:b w:val="0"/>
                <w:color w:val="000000"/>
                <w:sz w:val="24"/>
                <w:szCs w:val="24"/>
                <w:u w:val="none"/>
                <w:lang w:val="en-US" w:eastAsia="zh-CN" w:bidi="ar"/>
              </w:rPr>
              <w:t>03</w:t>
            </w:r>
            <w:r>
              <w:rPr>
                <w:rFonts w:hint="eastAsia" w:asciiTheme="minorEastAsia" w:hAnsiTheme="minorEastAsia" w:eastAsiaTheme="minorEastAsia" w:cstheme="minorEastAsia"/>
                <w:b w:val="0"/>
                <w:color w:val="000000"/>
                <w:sz w:val="24"/>
                <w:szCs w:val="24"/>
                <w:u w:val="none"/>
                <w:lang w:eastAsia="zh-CN" w:bidi="ar"/>
              </w:rPr>
              <w:t>%</w:t>
            </w:r>
          </w:p>
        </w:tc>
        <w:tc>
          <w:tcPr>
            <w:tcW w:w="1276" w:type="dxa"/>
            <w:vAlign w:val="top"/>
          </w:tcPr>
          <w:p w14:paraId="3E0670C4">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0.0</w:t>
            </w:r>
            <w:r>
              <w:rPr>
                <w:rFonts w:hint="eastAsia" w:asciiTheme="minorEastAsia" w:hAnsiTheme="minorEastAsia" w:eastAsiaTheme="minorEastAsia" w:cstheme="minorEastAsia"/>
                <w:b w:val="0"/>
                <w:color w:val="000000"/>
                <w:sz w:val="24"/>
                <w:szCs w:val="24"/>
                <w:u w:val="none"/>
                <w:lang w:val="en-US" w:eastAsia="zh-CN" w:bidi="ar"/>
              </w:rPr>
              <w:t>7</w:t>
            </w:r>
            <w:r>
              <w:rPr>
                <w:rFonts w:hint="eastAsia" w:asciiTheme="minorEastAsia" w:hAnsiTheme="minorEastAsia" w:eastAsiaTheme="minorEastAsia" w:cstheme="minorEastAsia"/>
                <w:b w:val="0"/>
                <w:color w:val="000000"/>
                <w:sz w:val="24"/>
                <w:szCs w:val="24"/>
                <w:u w:val="none"/>
                <w:lang w:eastAsia="zh-CN" w:bidi="ar"/>
              </w:rPr>
              <w:t>%</w:t>
            </w:r>
          </w:p>
        </w:tc>
        <w:tc>
          <w:tcPr>
            <w:tcW w:w="1276" w:type="dxa"/>
            <w:vAlign w:val="top"/>
          </w:tcPr>
          <w:p w14:paraId="6EDDB889">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val="en-US" w:eastAsia="zh-CN" w:bidi="ar"/>
              </w:rPr>
              <w:t>0.37</w:t>
            </w:r>
            <w:r>
              <w:rPr>
                <w:rFonts w:hint="eastAsia" w:asciiTheme="minorEastAsia" w:hAnsiTheme="minorEastAsia" w:eastAsiaTheme="minorEastAsia" w:cstheme="minorEastAsia"/>
                <w:b w:val="0"/>
                <w:color w:val="000000"/>
                <w:sz w:val="24"/>
                <w:szCs w:val="24"/>
                <w:u w:val="none"/>
                <w:lang w:eastAsia="zh-CN" w:bidi="ar"/>
              </w:rPr>
              <w:t>%</w:t>
            </w:r>
          </w:p>
        </w:tc>
        <w:tc>
          <w:tcPr>
            <w:tcW w:w="1701" w:type="dxa"/>
            <w:vAlign w:val="top"/>
          </w:tcPr>
          <w:p w14:paraId="75B5C92D">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w:t>
            </w:r>
            <w:r>
              <w:rPr>
                <w:rFonts w:hint="eastAsia" w:asciiTheme="minorEastAsia" w:hAnsiTheme="minorEastAsia" w:eastAsiaTheme="minorEastAsia" w:cstheme="minorEastAsia"/>
                <w:b w:val="0"/>
                <w:color w:val="000000"/>
                <w:sz w:val="24"/>
                <w:szCs w:val="24"/>
                <w:u w:val="none"/>
                <w:lang w:val="en-US" w:eastAsia="zh-CN" w:bidi="ar"/>
              </w:rPr>
              <w:t>08</w:t>
            </w:r>
            <w:r>
              <w:rPr>
                <w:rFonts w:hint="eastAsia" w:asciiTheme="minorEastAsia" w:hAnsiTheme="minorEastAsia" w:eastAsiaTheme="minorEastAsia" w:cstheme="minorEastAsia"/>
                <w:b w:val="0"/>
                <w:color w:val="000000"/>
                <w:sz w:val="24"/>
                <w:szCs w:val="24"/>
                <w:u w:val="none"/>
                <w:lang w:eastAsia="zh-CN" w:bidi="ar"/>
              </w:rPr>
              <w:t>%</w:t>
            </w:r>
          </w:p>
        </w:tc>
        <w:tc>
          <w:tcPr>
            <w:tcW w:w="948" w:type="dxa"/>
            <w:vAlign w:val="top"/>
          </w:tcPr>
          <w:p w14:paraId="2BCD9D4C">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val="en-US" w:eastAsia="zh-CN" w:bidi="ar"/>
              </w:rPr>
              <w:t>-0.40</w:t>
            </w:r>
            <w:r>
              <w:rPr>
                <w:rFonts w:hint="eastAsia" w:asciiTheme="minorEastAsia" w:hAnsiTheme="minorEastAsia" w:eastAsiaTheme="minorEastAsia" w:cstheme="minorEastAsia"/>
                <w:b w:val="0"/>
                <w:color w:val="000000"/>
                <w:sz w:val="24"/>
                <w:szCs w:val="24"/>
                <w:u w:val="none"/>
                <w:lang w:eastAsia="zh-CN" w:bidi="ar"/>
              </w:rPr>
              <w:t>%</w:t>
            </w:r>
          </w:p>
        </w:tc>
        <w:tc>
          <w:tcPr>
            <w:tcW w:w="1186" w:type="dxa"/>
            <w:vAlign w:val="top"/>
          </w:tcPr>
          <w:p w14:paraId="68740042">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-0.0</w:t>
            </w:r>
            <w:r>
              <w:rPr>
                <w:rFonts w:hint="eastAsia" w:asciiTheme="minorEastAsia" w:hAnsiTheme="minorEastAsia" w:eastAsiaTheme="minorEastAsia" w:cstheme="minorEastAsia"/>
                <w:b w:val="0"/>
                <w:color w:val="000000"/>
                <w:sz w:val="24"/>
                <w:szCs w:val="24"/>
                <w:u w:val="none"/>
                <w:lang w:val="en-US" w:eastAsia="zh-CN" w:bidi="ar"/>
              </w:rPr>
              <w:t>1</w:t>
            </w:r>
            <w:r>
              <w:rPr>
                <w:rFonts w:hint="eastAsia" w:asciiTheme="minorEastAsia" w:hAnsiTheme="minorEastAsia" w:eastAsiaTheme="minorEastAsia" w:cstheme="minorEastAsia"/>
                <w:b w:val="0"/>
                <w:color w:val="000000"/>
                <w:sz w:val="24"/>
                <w:szCs w:val="24"/>
                <w:u w:val="none"/>
                <w:lang w:eastAsia="zh-CN" w:bidi="ar"/>
              </w:rPr>
              <w:t>%</w:t>
            </w:r>
          </w:p>
        </w:tc>
      </w:tr>
      <w:tr w14:paraId="012B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tcPr>
          <w:p w14:paraId="0F3C140F">
            <w:pPr>
              <w:widowControl/>
              <w:jc w:val="center"/>
              <w:textAlignment w:val="top"/>
              <w:rPr>
                <w:rFonts w:hint="eastAsia" w:asciiTheme="minorEastAsia" w:hAnsiTheme="minorEastAsia" w:eastAsiaTheme="minorEastAsia" w:cstheme="minorEastAsia"/>
                <w:color w:val="000000"/>
                <w:sz w:val="24"/>
                <w:szCs w:val="24"/>
                <w:lang w:val="en-US" w:eastAsia="zh-CN" w:bidi="ar"/>
              </w:rPr>
            </w:pPr>
            <w:r>
              <w:rPr>
                <w:rFonts w:hint="eastAsia" w:asciiTheme="minorEastAsia" w:hAnsiTheme="minorEastAsia" w:eastAsiaTheme="minorEastAsia" w:cstheme="minorEastAsia"/>
                <w:color w:val="000000"/>
                <w:sz w:val="24"/>
                <w:szCs w:val="24"/>
                <w:lang w:val="en-US" w:eastAsia="zh-CN" w:bidi="ar"/>
              </w:rPr>
              <w:t>2026年01月01日-2026年03月31日</w:t>
            </w:r>
          </w:p>
        </w:tc>
        <w:tc>
          <w:tcPr>
            <w:tcW w:w="1065" w:type="dxa"/>
            <w:vAlign w:val="top"/>
          </w:tcPr>
          <w:p w14:paraId="7E03936B">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0.56%</w:t>
            </w:r>
          </w:p>
        </w:tc>
        <w:tc>
          <w:tcPr>
            <w:tcW w:w="1276" w:type="dxa"/>
            <w:vAlign w:val="top"/>
          </w:tcPr>
          <w:p w14:paraId="143DA8D5">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0.02%</w:t>
            </w:r>
          </w:p>
        </w:tc>
        <w:tc>
          <w:tcPr>
            <w:tcW w:w="1276" w:type="dxa"/>
            <w:vAlign w:val="top"/>
          </w:tcPr>
          <w:p w14:paraId="7ED4ED7D">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0.72%</w:t>
            </w:r>
          </w:p>
        </w:tc>
        <w:tc>
          <w:tcPr>
            <w:tcW w:w="1701" w:type="dxa"/>
            <w:vAlign w:val="top"/>
          </w:tcPr>
          <w:p w14:paraId="3FBDDA89">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0.05%</w:t>
            </w:r>
          </w:p>
        </w:tc>
        <w:tc>
          <w:tcPr>
            <w:tcW w:w="948" w:type="dxa"/>
            <w:vAlign w:val="top"/>
          </w:tcPr>
          <w:p w14:paraId="09471DCB">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-0.16%</w:t>
            </w:r>
          </w:p>
        </w:tc>
        <w:tc>
          <w:tcPr>
            <w:tcW w:w="1186" w:type="dxa"/>
            <w:vAlign w:val="top"/>
          </w:tcPr>
          <w:p w14:paraId="1B73FC88">
            <w:pPr>
              <w:widowControl/>
              <w:spacing w:line="240" w:lineRule="auto"/>
              <w:jc w:val="center"/>
              <w:textAlignment w:val="center"/>
              <w:rPr>
                <w:rFonts w:hint="eastAsia" w:asciiTheme="minorEastAsia" w:hAnsiTheme="minorEastAsia" w:eastAsiaTheme="minorEastAsia" w:cstheme="minorEastAsia"/>
                <w:b w:val="0"/>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-0.03%</w:t>
            </w:r>
          </w:p>
        </w:tc>
      </w:tr>
      <w:tr w14:paraId="7BB6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tcPr>
          <w:p w14:paraId="1C6B5EDA">
            <w:pPr>
              <w:widowControl/>
              <w:jc w:val="center"/>
              <w:textAlignment w:val="top"/>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eastAsia="zh-CN" w:bidi="ar"/>
              </w:rPr>
              <w:t>自基金合同生效起至202</w:t>
            </w:r>
            <w:r>
              <w:rPr>
                <w:rFonts w:hint="eastAsia" w:asciiTheme="minorEastAsia" w:hAnsiTheme="minorEastAsia" w:eastAsiaTheme="minorEastAsia" w:cstheme="minorEastAsia"/>
                <w:color w:val="000000"/>
                <w:sz w:val="24"/>
                <w:szCs w:val="24"/>
                <w:lang w:val="en-US" w:eastAsia="zh-CN" w:bidi="ar"/>
              </w:rPr>
              <w:t>6</w:t>
            </w:r>
            <w:r>
              <w:rPr>
                <w:rFonts w:hint="eastAsia" w:asciiTheme="minorEastAsia" w:hAnsiTheme="minorEastAsia" w:eastAsiaTheme="minorEastAsia" w:cstheme="minorEastAsia"/>
                <w:color w:val="000000"/>
                <w:sz w:val="24"/>
                <w:szCs w:val="24"/>
                <w:lang w:eastAsia="zh-CN" w:bidi="ar"/>
              </w:rPr>
              <w:t>年3月31日</w:t>
            </w:r>
          </w:p>
        </w:tc>
        <w:tc>
          <w:tcPr>
            <w:tcW w:w="1065" w:type="dxa"/>
            <w:vAlign w:val="top"/>
          </w:tcPr>
          <w:p w14:paraId="591E3BC4">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6.53%</w:t>
            </w:r>
          </w:p>
        </w:tc>
        <w:tc>
          <w:tcPr>
            <w:tcW w:w="1276" w:type="dxa"/>
            <w:vAlign w:val="top"/>
          </w:tcPr>
          <w:p w14:paraId="2E1A58F1">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0.07%</w:t>
            </w:r>
          </w:p>
        </w:tc>
        <w:tc>
          <w:tcPr>
            <w:tcW w:w="1276" w:type="dxa"/>
            <w:vAlign w:val="top"/>
          </w:tcPr>
          <w:p w14:paraId="589185AB">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10.24%</w:t>
            </w:r>
          </w:p>
        </w:tc>
        <w:tc>
          <w:tcPr>
            <w:tcW w:w="1701" w:type="dxa"/>
            <w:vAlign w:val="top"/>
          </w:tcPr>
          <w:p w14:paraId="4AB82071">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0.08%</w:t>
            </w:r>
          </w:p>
        </w:tc>
        <w:tc>
          <w:tcPr>
            <w:tcW w:w="948" w:type="dxa"/>
            <w:vAlign w:val="top"/>
          </w:tcPr>
          <w:p w14:paraId="4317A7F6">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-3.71%</w:t>
            </w:r>
          </w:p>
        </w:tc>
        <w:tc>
          <w:tcPr>
            <w:tcW w:w="1186" w:type="dxa"/>
            <w:vAlign w:val="top"/>
          </w:tcPr>
          <w:p w14:paraId="398F2A21">
            <w:pPr>
              <w:widowControl/>
              <w:spacing w:line="240" w:lineRule="auto"/>
              <w:jc w:val="center"/>
              <w:textAlignment w:val="center"/>
              <w:rPr>
                <w:rFonts w:hint="eastAsia" w:asciiTheme="minorEastAsia" w:hAnsiTheme="minorEastAsia" w:eastAsiaTheme="minorEastAsia" w:cstheme="minorEastAsia"/>
                <w:color w:val="000000"/>
                <w:sz w:val="24"/>
                <w:szCs w:val="24"/>
                <w:u w:val="none"/>
                <w:lang w:eastAsia="zh-CN" w:bidi="ar"/>
              </w:rPr>
            </w:pPr>
            <w:r>
              <w:rPr>
                <w:rFonts w:hint="eastAsia" w:asciiTheme="minorEastAsia" w:hAnsiTheme="minorEastAsia" w:eastAsiaTheme="minorEastAsia" w:cstheme="minorEastAsia"/>
                <w:b w:val="0"/>
                <w:color w:val="000000"/>
                <w:sz w:val="24"/>
                <w:szCs w:val="24"/>
                <w:u w:val="none"/>
                <w:lang w:eastAsia="zh-CN" w:bidi="ar"/>
              </w:rPr>
              <w:t>-0.01%</w:t>
            </w:r>
          </w:p>
        </w:tc>
      </w:tr>
    </w:tbl>
    <w:p w14:paraId="62451164">
      <w:pPr>
        <w:spacing w:line="240" w:lineRule="auto"/>
        <w:rPr>
          <w:rFonts w:hint="eastAsia" w:asciiTheme="minorEastAsia" w:hAnsiTheme="minorEastAsia" w:eastAsiaTheme="minorEastAsia" w:cstheme="minorEastAsia"/>
          <w:bCs/>
          <w:color w:val="000000"/>
          <w:sz w:val="24"/>
          <w:szCs w:val="22"/>
          <w:lang w:eastAsia="zh-CN"/>
        </w:rPr>
        <w:sectPr>
          <w:pgSz w:w="11910" w:h="16840"/>
          <w:pgMar w:top="1440" w:right="1800" w:bottom="1440" w:left="1800" w:header="873" w:footer="991" w:gutter="0"/>
          <w:cols w:space="720" w:num="1"/>
        </w:sectPr>
      </w:pPr>
    </w:p>
    <w:p w14:paraId="27E98131">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60" w:name="_bookmark12"/>
      <w:bookmarkEnd w:id="60"/>
      <w:bookmarkStart w:id="61" w:name="_Toc69831250"/>
      <w:r>
        <w:rPr>
          <w:rFonts w:ascii="Times New Roman" w:hAnsi="Times New Roman" w:cs="Times New Roman"/>
          <w:b/>
          <w:szCs w:val="20"/>
          <w:lang w:eastAsia="zh-CN" w:bidi="ar-SA"/>
        </w:rPr>
        <w:t>第十</w:t>
      </w:r>
      <w:r>
        <w:rPr>
          <w:rFonts w:hint="eastAsia" w:ascii="Times New Roman" w:hAnsi="Times New Roman" w:cs="Times New Roman"/>
          <w:b/>
          <w:szCs w:val="20"/>
          <w:lang w:eastAsia="zh-CN" w:bidi="ar-SA"/>
        </w:rPr>
        <w:t>二</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基金的财产</w:t>
      </w:r>
      <w:bookmarkEnd w:id="61"/>
    </w:p>
    <w:p w14:paraId="4E8B35B6">
      <w:pPr>
        <w:spacing w:line="360" w:lineRule="auto"/>
        <w:ind w:firstLine="480" w:firstLineChars="200"/>
        <w:rPr>
          <w:bCs/>
          <w:color w:val="000000"/>
          <w:sz w:val="24"/>
          <w:lang w:eastAsia="zh-CN"/>
        </w:rPr>
      </w:pPr>
    </w:p>
    <w:p w14:paraId="5683D786">
      <w:pPr>
        <w:spacing w:line="360" w:lineRule="auto"/>
        <w:ind w:firstLine="480" w:firstLineChars="200"/>
        <w:rPr>
          <w:bCs/>
          <w:color w:val="000000" w:themeColor="text1"/>
          <w:sz w:val="24"/>
          <w:lang w:eastAsia="zh-CN"/>
          <w14:textFill>
            <w14:solidFill>
              <w14:schemeClr w14:val="tx1"/>
            </w14:solidFill>
          </w14:textFill>
        </w:rPr>
      </w:pPr>
      <w:bookmarkStart w:id="62" w:name="_Hlk88079516"/>
      <w:bookmarkStart w:id="63" w:name="_Hlk97498087"/>
      <w:r>
        <w:rPr>
          <w:bCs/>
          <w:color w:val="000000" w:themeColor="text1"/>
          <w:sz w:val="24"/>
          <w:lang w:eastAsia="zh-CN"/>
          <w14:textFill>
            <w14:solidFill>
              <w14:schemeClr w14:val="tx1"/>
            </w14:solidFill>
          </w14:textFill>
        </w:rPr>
        <w:t>一、基金资产总值</w:t>
      </w:r>
    </w:p>
    <w:p w14:paraId="7A78105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基金资产总值是指基金购买的各类证券及票据价值、银行存款本息和基金应收的申购基金款以及其他投资所形成的价值总和。</w:t>
      </w:r>
    </w:p>
    <w:p w14:paraId="0EC9F0B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二、基金资产净值</w:t>
      </w:r>
    </w:p>
    <w:p w14:paraId="39D018E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基金资产净值是指基金资产总值减去基金负债后的价值。</w:t>
      </w:r>
    </w:p>
    <w:p w14:paraId="4B4D7A2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三、基金财产的账户</w:t>
      </w:r>
    </w:p>
    <w:p w14:paraId="30645A1E">
      <w:pPr>
        <w:spacing w:line="360" w:lineRule="auto"/>
        <w:ind w:firstLine="480" w:firstLineChars="200"/>
        <w:rPr>
          <w:color w:val="000000" w:themeColor="text1"/>
          <w:lang w:eastAsia="zh-CN"/>
          <w14:textFill>
            <w14:solidFill>
              <w14:schemeClr w14:val="tx1"/>
            </w14:solidFill>
          </w14:textFill>
        </w:rPr>
      </w:pPr>
      <w:r>
        <w:rPr>
          <w:bCs/>
          <w:color w:val="000000" w:themeColor="text1"/>
          <w:sz w:val="24"/>
          <w:lang w:eastAsia="zh-CN"/>
          <w14:textFill>
            <w14:solidFill>
              <w14:schemeClr w14:val="tx1"/>
            </w14:solidFill>
          </w14:textFill>
        </w:rPr>
        <w:t>基金托管人根据相关法律法规、规范性文件为本基金开立资金</w:t>
      </w:r>
      <w:r>
        <w:rPr>
          <w:rFonts w:hint="eastAsia"/>
          <w:bCs/>
          <w:color w:val="000000" w:themeColor="text1"/>
          <w:sz w:val="24"/>
          <w:lang w:eastAsia="zh-CN"/>
          <w14:textFill>
            <w14:solidFill>
              <w14:schemeClr w14:val="tx1"/>
            </w14:solidFill>
          </w14:textFill>
        </w:rPr>
        <w:t>账户</w:t>
      </w:r>
      <w:r>
        <w:rPr>
          <w:bCs/>
          <w:color w:val="000000" w:themeColor="text1"/>
          <w:sz w:val="24"/>
          <w:lang w:eastAsia="zh-CN"/>
          <w14:textFill>
            <w14:solidFill>
              <w14:schemeClr w14:val="tx1"/>
            </w14:solidFill>
          </w14:textFill>
        </w:rPr>
        <w:t>、证券</w:t>
      </w:r>
      <w:r>
        <w:rPr>
          <w:rFonts w:hint="eastAsia"/>
          <w:bCs/>
          <w:color w:val="000000" w:themeColor="text1"/>
          <w:sz w:val="24"/>
          <w:lang w:eastAsia="zh-CN"/>
          <w14:textFill>
            <w14:solidFill>
              <w14:schemeClr w14:val="tx1"/>
            </w14:solidFill>
          </w14:textFill>
        </w:rPr>
        <w:t>账户</w:t>
      </w:r>
      <w:r>
        <w:rPr>
          <w:bCs/>
          <w:color w:val="000000" w:themeColor="text1"/>
          <w:sz w:val="24"/>
          <w:lang w:eastAsia="zh-CN"/>
          <w14:textFill>
            <w14:solidFill>
              <w14:schemeClr w14:val="tx1"/>
            </w14:solidFill>
          </w14:textFill>
        </w:rPr>
        <w:t>以及投资所需的其他专用</w:t>
      </w:r>
      <w:r>
        <w:rPr>
          <w:rFonts w:hint="eastAsia"/>
          <w:bCs/>
          <w:color w:val="000000" w:themeColor="text1"/>
          <w:sz w:val="24"/>
          <w:lang w:eastAsia="zh-CN"/>
          <w14:textFill>
            <w14:solidFill>
              <w14:schemeClr w14:val="tx1"/>
            </w14:solidFill>
          </w14:textFill>
        </w:rPr>
        <w:t>账户</w:t>
      </w:r>
      <w:r>
        <w:rPr>
          <w:bCs/>
          <w:color w:val="000000" w:themeColor="text1"/>
          <w:sz w:val="24"/>
          <w:lang w:eastAsia="zh-CN"/>
          <w14:textFill>
            <w14:solidFill>
              <w14:schemeClr w14:val="tx1"/>
            </w14:solidFill>
          </w14:textFill>
        </w:rPr>
        <w:t>。开立的基金专用账户与基金管理人、基金托管人、基金销售机构和基金登记机构自有的财产账户以及其他基金财产账户相独立。</w:t>
      </w:r>
    </w:p>
    <w:p w14:paraId="6C6916C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四、基金财产的保管和处分</w:t>
      </w:r>
    </w:p>
    <w:p w14:paraId="64FCB18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本基金财产独立于基金管理人、基金托管人和基金</w:t>
      </w:r>
      <w:r>
        <w:rPr>
          <w:rFonts w:hint="eastAsia"/>
          <w:bCs/>
          <w:color w:val="000000" w:themeColor="text1"/>
          <w:sz w:val="24"/>
          <w:lang w:eastAsia="zh-CN"/>
          <w14:textFill>
            <w14:solidFill>
              <w14:schemeClr w14:val="tx1"/>
            </w14:solidFill>
          </w14:textFill>
        </w:rPr>
        <w:t>销售</w:t>
      </w:r>
      <w:r>
        <w:rPr>
          <w:bCs/>
          <w:color w:val="000000" w:themeColor="text1"/>
          <w:sz w:val="24"/>
          <w:lang w:eastAsia="zh-CN"/>
          <w14:textFill>
            <w14:solidFill>
              <w14:schemeClr w14:val="tx1"/>
            </w14:solidFill>
          </w14:textFill>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67C9E8B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bookmarkEnd w:id="62"/>
    <w:bookmarkEnd w:id="63"/>
    <w:p w14:paraId="751FB430">
      <w:pPr>
        <w:spacing w:line="424" w:lineRule="auto"/>
        <w:jc w:val="both"/>
        <w:rPr>
          <w:lang w:eastAsia="zh-CN"/>
        </w:rPr>
        <w:sectPr>
          <w:pgSz w:w="11910" w:h="16840"/>
          <w:pgMar w:top="1440" w:right="1800" w:bottom="1440" w:left="1800" w:header="873" w:footer="991" w:gutter="0"/>
          <w:cols w:space="720" w:num="1"/>
        </w:sectPr>
      </w:pPr>
      <w:r>
        <w:rPr>
          <w:b/>
          <w:bCs/>
          <w:color w:val="000000"/>
          <w:sz w:val="24"/>
          <w:lang w:eastAsia="zh-CN"/>
        </w:rPr>
        <w:br w:type="page"/>
      </w:r>
      <w:bookmarkStart w:id="64" w:name="_Hlt88841837"/>
      <w:bookmarkEnd w:id="64"/>
      <w:bookmarkStart w:id="65" w:name="_Hlt88900062"/>
      <w:bookmarkEnd w:id="65"/>
    </w:p>
    <w:p w14:paraId="6FDD116F">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66" w:name="_bookmark13"/>
      <w:bookmarkEnd w:id="66"/>
      <w:bookmarkStart w:id="67" w:name="_Toc69831251"/>
      <w:r>
        <w:rPr>
          <w:rFonts w:ascii="Times New Roman" w:hAnsi="Times New Roman" w:cs="Times New Roman"/>
          <w:b/>
          <w:szCs w:val="20"/>
          <w:lang w:eastAsia="zh-CN" w:bidi="ar-SA"/>
        </w:rPr>
        <w:t>第十</w:t>
      </w:r>
      <w:r>
        <w:rPr>
          <w:rFonts w:hint="eastAsia" w:ascii="Times New Roman" w:hAnsi="Times New Roman" w:cs="Times New Roman"/>
          <w:b/>
          <w:szCs w:val="20"/>
          <w:lang w:eastAsia="zh-CN" w:bidi="ar-SA"/>
        </w:rPr>
        <w:t>三</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w:t>
      </w:r>
      <w:r>
        <w:rPr>
          <w:rFonts w:hint="eastAsia" w:ascii="Times New Roman" w:hAnsi="Times New Roman" w:cs="Times New Roman"/>
          <w:b/>
          <w:szCs w:val="20"/>
          <w:lang w:eastAsia="zh-CN" w:bidi="ar-SA"/>
        </w:rPr>
        <w:t>资产</w:t>
      </w:r>
      <w:r>
        <w:rPr>
          <w:rFonts w:ascii="Times New Roman" w:hAnsi="Times New Roman" w:cs="Times New Roman"/>
          <w:b/>
          <w:szCs w:val="20"/>
          <w:lang w:eastAsia="zh-CN" w:bidi="ar-SA"/>
        </w:rPr>
        <w:t>的估值</w:t>
      </w:r>
      <w:bookmarkEnd w:id="67"/>
    </w:p>
    <w:p w14:paraId="25E249FA">
      <w:pPr>
        <w:spacing w:line="424" w:lineRule="auto"/>
        <w:jc w:val="both"/>
        <w:rPr>
          <w:lang w:eastAsia="zh-CN"/>
        </w:rPr>
      </w:pPr>
    </w:p>
    <w:p w14:paraId="48D3BE1A">
      <w:pPr>
        <w:spacing w:line="360" w:lineRule="auto"/>
        <w:ind w:firstLine="480" w:firstLineChars="200"/>
        <w:rPr>
          <w:bCs/>
          <w:color w:val="000000" w:themeColor="text1"/>
          <w:sz w:val="24"/>
          <w:lang w:eastAsia="zh-CN"/>
          <w14:textFill>
            <w14:solidFill>
              <w14:schemeClr w14:val="tx1"/>
            </w14:solidFill>
          </w14:textFill>
        </w:rPr>
      </w:pPr>
      <w:bookmarkStart w:id="68" w:name="_Hlk88079556"/>
      <w:bookmarkStart w:id="69" w:name="_Hlk97498135"/>
      <w:r>
        <w:rPr>
          <w:bCs/>
          <w:color w:val="000000" w:themeColor="text1"/>
          <w:sz w:val="24"/>
          <w:lang w:eastAsia="zh-CN"/>
          <w14:textFill>
            <w14:solidFill>
              <w14:schemeClr w14:val="tx1"/>
            </w14:solidFill>
          </w14:textFill>
        </w:rPr>
        <w:t>一、估值日</w:t>
      </w:r>
    </w:p>
    <w:p w14:paraId="5D188EB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本基金的估值日为本基金相关的证券交易场所的交易日以及国家法律法规规定需要对外披露基金净值的非交易日。</w:t>
      </w:r>
    </w:p>
    <w:p w14:paraId="4FA9E20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二、估值对象</w:t>
      </w:r>
    </w:p>
    <w:p w14:paraId="7AD7156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基金所拥有的债券</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银行存款本息、应收款项、其它投资等资产及负债。</w:t>
      </w:r>
    </w:p>
    <w:p w14:paraId="215A89F1">
      <w:pPr>
        <w:numPr>
          <w:ilvl w:val="0"/>
          <w:numId w:val="4"/>
        </w:num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估值原则</w:t>
      </w:r>
    </w:p>
    <w:p w14:paraId="5942783A">
      <w:pPr>
        <w:spacing w:line="360" w:lineRule="auto"/>
        <w:ind w:firstLine="480" w:firstLineChars="200"/>
        <w:rPr>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基金管理人在确定相关金融资产和金融负债的公允价值时，应符合《企业会计准则》、监管部门有关规定。</w:t>
      </w:r>
    </w:p>
    <w:p w14:paraId="120DC68F">
      <w:pPr>
        <w:numPr>
          <w:ilvl w:val="0"/>
          <w:numId w:val="5"/>
        </w:numPr>
        <w:spacing w:line="360" w:lineRule="auto"/>
        <w:ind w:firstLine="480" w:firstLineChars="200"/>
        <w:rPr>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7DACBA0E">
      <w:pPr>
        <w:spacing w:line="360" w:lineRule="auto"/>
        <w:ind w:firstLine="480" w:firstLineChars="200"/>
        <w:rPr>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与上述投资品种</w:t>
      </w:r>
      <w:r>
        <w:rPr>
          <w:bCs/>
          <w:color w:val="000000" w:themeColor="text1"/>
          <w:sz w:val="24"/>
          <w:szCs w:val="24"/>
          <w:lang w:eastAsia="zh-CN"/>
          <w14:textFill>
            <w14:solidFill>
              <w14:schemeClr w14:val="tx1"/>
            </w14:solidFill>
          </w14:textFill>
        </w:rPr>
        <w:t>形</w:t>
      </w:r>
      <w:r>
        <w:rPr>
          <w:rFonts w:hint="eastAsia"/>
          <w:bCs/>
          <w:color w:val="000000" w:themeColor="text1"/>
          <w:sz w:val="24"/>
          <w:szCs w:val="24"/>
          <w:lang w:eastAsia="zh-CN"/>
          <w14:textFill>
            <w14:solidFill>
              <w14:schemeClr w14:val="tx1"/>
            </w14:solidFill>
          </w14:textFill>
        </w:rPr>
        <w:t>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7DEF365F">
      <w:pPr>
        <w:numPr>
          <w:ilvl w:val="0"/>
          <w:numId w:val="5"/>
        </w:numPr>
        <w:spacing w:line="360" w:lineRule="auto"/>
        <w:ind w:firstLine="480" w:firstLineChars="200"/>
        <w:rPr>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0ECC5C1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（三）如经济环境发生重大变化或证券发行人发生影响证券价格的重大事件，使潜在估值调整对前一估值日的基金资产净值的影响在0.25%以上的，应对估值进行调整并确定公允价值。</w:t>
      </w:r>
    </w:p>
    <w:p w14:paraId="49C23193">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四</w:t>
      </w:r>
      <w:r>
        <w:rPr>
          <w:bCs/>
          <w:color w:val="000000" w:themeColor="text1"/>
          <w:sz w:val="24"/>
          <w:lang w:eastAsia="zh-CN"/>
          <w14:textFill>
            <w14:solidFill>
              <w14:schemeClr w14:val="tx1"/>
            </w14:solidFill>
          </w14:textFill>
        </w:rPr>
        <w:t>、估值方法</w:t>
      </w:r>
    </w:p>
    <w:p w14:paraId="46BBC55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1、证券交易所上市的有价证券的估值</w:t>
      </w:r>
    </w:p>
    <w:p w14:paraId="142E908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除本部分另有约定的品种外，</w:t>
      </w:r>
      <w:r>
        <w:rPr>
          <w:bCs/>
          <w:color w:val="000000" w:themeColor="text1"/>
          <w:sz w:val="24"/>
          <w:lang w:eastAsia="zh-CN"/>
          <w14:textFill>
            <w14:solidFill>
              <w14:schemeClr w14:val="tx1"/>
            </w14:solidFill>
          </w14:textFill>
        </w:rPr>
        <w:t>交易所上市的有价证券，以其估值日在证券交易所挂牌的市价（收盘价）估值；估值日无交易的，且最近交易日后经济环境未发生重大变化</w:t>
      </w:r>
      <w:r>
        <w:rPr>
          <w:rFonts w:hint="eastAsia"/>
          <w:bCs/>
          <w:color w:val="000000" w:themeColor="text1"/>
          <w:sz w:val="24"/>
          <w:lang w:eastAsia="zh-CN"/>
          <w14:textFill>
            <w14:solidFill>
              <w14:schemeClr w14:val="tx1"/>
            </w14:solidFill>
          </w14:textFill>
        </w:rPr>
        <w:t>或</w:t>
      </w:r>
      <w:r>
        <w:rPr>
          <w:bCs/>
          <w:color w:val="000000" w:themeColor="text1"/>
          <w:sz w:val="24"/>
          <w:lang w:eastAsia="zh-CN"/>
          <w14:textFill>
            <w14:solidFill>
              <w14:schemeClr w14:val="tx1"/>
            </w14:solidFill>
          </w14:textFill>
        </w:rPr>
        <w:t>证券发行机构未发生影响证券价格的重大事件的，以最近交易日的市价（收盘价）估值；如最近交易日后经济环境发生了重大变化</w:t>
      </w:r>
      <w:r>
        <w:rPr>
          <w:rFonts w:hint="eastAsia"/>
          <w:bCs/>
          <w:color w:val="000000" w:themeColor="text1"/>
          <w:sz w:val="24"/>
          <w:lang w:eastAsia="zh-CN"/>
          <w14:textFill>
            <w14:solidFill>
              <w14:schemeClr w14:val="tx1"/>
            </w14:solidFill>
          </w14:textFill>
        </w:rPr>
        <w:t>或</w:t>
      </w:r>
      <w:r>
        <w:rPr>
          <w:bCs/>
          <w:color w:val="000000" w:themeColor="text1"/>
          <w:sz w:val="24"/>
          <w:lang w:eastAsia="zh-CN"/>
          <w14:textFill>
            <w14:solidFill>
              <w14:schemeClr w14:val="tx1"/>
            </w14:solidFill>
          </w14:textFill>
        </w:rPr>
        <w:t>证券发行机构发生影响证券价格的重大事件的，可参考类似投资品种的现行市价及重大变化因素，调整最近交易市价，确定公允价格。</w:t>
      </w:r>
    </w:p>
    <w:p w14:paraId="4E08355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（2）交易所上市交易或挂牌转让的不含权固定收益品种，选取估值日第三方估值机构提供的相应品种当日的估值净价进行估值；</w:t>
      </w:r>
    </w:p>
    <w:p w14:paraId="7B16919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（3）交易所上市交易或挂牌转让的含权固定收益品种，选取估值日第三方估值机构提供的相应品种当日的唯一估值净价或推荐估值净价进行估值；</w:t>
      </w:r>
    </w:p>
    <w:p w14:paraId="47C23E7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（4）交易所上市不存在活跃市场的有价证券，采用估值技术确定公允价值</w:t>
      </w:r>
      <w:r>
        <w:rPr>
          <w:rFonts w:hint="eastAsia"/>
          <w:bCs/>
          <w:color w:val="000000" w:themeColor="text1"/>
          <w:sz w:val="24"/>
          <w:lang w:eastAsia="zh-CN"/>
          <w14:textFill>
            <w14:solidFill>
              <w14:schemeClr w14:val="tx1"/>
            </w14:solidFill>
          </w14:textFill>
        </w:rPr>
        <w:t>；</w:t>
      </w:r>
    </w:p>
    <w:p w14:paraId="67B25D7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w:t>
      </w:r>
      <w:r>
        <w:rPr>
          <w:rFonts w:hint="eastAsia"/>
          <w:bCs/>
          <w:color w:val="000000" w:themeColor="text1"/>
          <w:sz w:val="24"/>
          <w:lang w:eastAsia="zh-CN"/>
          <w14:textFill>
            <w14:solidFill>
              <w14:schemeClr w14:val="tx1"/>
            </w14:solidFill>
          </w14:textFill>
        </w:rPr>
        <w:t>市场活动</w:t>
      </w:r>
      <w:r>
        <w:rPr>
          <w:bCs/>
          <w:color w:val="000000" w:themeColor="text1"/>
          <w:sz w:val="24"/>
          <w:lang w:eastAsia="zh-CN"/>
          <w14:textFill>
            <w14:solidFill>
              <w14:schemeClr w14:val="tx1"/>
            </w14:solidFill>
          </w14:textFill>
        </w:rPr>
        <w:t>或市场活动很少的情况下，应采用估值技术确定其公允价值。</w:t>
      </w:r>
    </w:p>
    <w:p w14:paraId="28BD196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2、首次公开发行未上市的债券，采用估值技术确定公允价值，在估值技术难以可靠计量公允价值的情况下，按成本估值。</w:t>
      </w:r>
    </w:p>
    <w:p w14:paraId="1B0E621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w:t>
      </w:r>
      <w:r>
        <w:rPr>
          <w:rFonts w:hint="eastAsia"/>
          <w:bCs/>
          <w:color w:val="000000" w:themeColor="text1"/>
          <w:sz w:val="24"/>
          <w:lang w:eastAsia="zh-CN"/>
          <w14:textFill>
            <w14:solidFill>
              <w14:schemeClr w14:val="tx1"/>
            </w14:solidFill>
          </w14:textFill>
        </w:rPr>
        <w:t>期</w:t>
      </w:r>
      <w:r>
        <w:rPr>
          <w:bCs/>
          <w:color w:val="000000" w:themeColor="text1"/>
          <w:sz w:val="24"/>
          <w:lang w:eastAsia="zh-CN"/>
          <w14:textFill>
            <w14:solidFill>
              <w14:schemeClr w14:val="tx1"/>
            </w14:solidFill>
          </w14:textFill>
        </w:rPr>
        <w:t>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3CEBF20B">
      <w:pPr>
        <w:spacing w:line="360" w:lineRule="auto"/>
        <w:ind w:firstLine="484" w:firstLineChars="202"/>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同一债券同时在两个或两个以上市场交易的，按债券所处的市场分别估值。</w:t>
      </w:r>
    </w:p>
    <w:p w14:paraId="6DDA9986">
      <w:pPr>
        <w:spacing w:line="360" w:lineRule="auto"/>
        <w:ind w:firstLine="480" w:firstLineChars="200"/>
        <w:rPr>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5、</w:t>
      </w:r>
      <w:r>
        <w:rPr>
          <w:rFonts w:hint="eastAsia"/>
          <w:color w:val="000000" w:themeColor="text1"/>
          <w:sz w:val="24"/>
          <w:lang w:eastAsia="zh-CN"/>
          <w14:textFill>
            <w14:solidFill>
              <w14:schemeClr w14:val="tx1"/>
            </w14:solidFill>
          </w14:textFill>
        </w:rPr>
        <w:t>基金投资同业存单，按估值日第三方估值机构提供的估值净价估值；选定的第三方估值机构未提供估值价格的，按成本估值。</w:t>
      </w:r>
    </w:p>
    <w:p w14:paraId="53F2A101">
      <w:pPr>
        <w:spacing w:line="360" w:lineRule="auto"/>
        <w:ind w:firstLine="480" w:firstLineChars="200"/>
        <w:rPr>
          <w:bCs/>
          <w:sz w:val="24"/>
          <w:lang w:eastAsia="zh-CN"/>
        </w:rPr>
      </w:pPr>
      <w:r>
        <w:rPr>
          <w:rFonts w:hint="eastAsia"/>
          <w:bCs/>
          <w:sz w:val="24"/>
          <w:lang w:eastAsia="zh-CN"/>
        </w:rPr>
        <w:t>6、本基金持有的回购以成本列示，按合同利率在回购期间内逐日计提应收或应付利息。</w:t>
      </w:r>
    </w:p>
    <w:p w14:paraId="322C6486">
      <w:pPr>
        <w:spacing w:line="360" w:lineRule="auto"/>
        <w:ind w:firstLine="480" w:firstLineChars="200"/>
        <w:rPr>
          <w:bCs/>
          <w:color w:val="000000" w:themeColor="text1"/>
          <w:sz w:val="24"/>
          <w:lang w:eastAsia="zh-CN"/>
          <w14:textFill>
            <w14:solidFill>
              <w14:schemeClr w14:val="tx1"/>
            </w14:solidFill>
          </w14:textFill>
        </w:rPr>
      </w:pPr>
      <w:r>
        <w:rPr>
          <w:rFonts w:hint="eastAsia"/>
          <w:bCs/>
          <w:sz w:val="24"/>
          <w:lang w:eastAsia="zh-CN"/>
        </w:rPr>
        <w:t>7、本基金持有的银行存款和备付金余额以本金列示，按相应利率逐日计提利息。</w:t>
      </w:r>
    </w:p>
    <w:p w14:paraId="3641765C">
      <w:pPr>
        <w:spacing w:line="360" w:lineRule="auto"/>
        <w:ind w:firstLine="480" w:firstLineChars="200"/>
        <w:rPr>
          <w:bCs/>
          <w:color w:val="000000" w:themeColor="text1"/>
          <w:lang w:eastAsia="zh-CN"/>
          <w14:textFill>
            <w14:solidFill>
              <w14:schemeClr w14:val="tx1"/>
            </w14:solidFill>
          </w14:textFill>
        </w:rPr>
      </w:pPr>
      <w:r>
        <w:rPr>
          <w:bCs/>
          <w:color w:val="000000" w:themeColor="text1"/>
          <w:sz w:val="24"/>
          <w:lang w:eastAsia="zh-CN"/>
          <w14:textFill>
            <w14:solidFill>
              <w14:schemeClr w14:val="tx1"/>
            </w14:solidFill>
          </w14:textFill>
        </w:rPr>
        <w:t>8、如有确凿证据表明按上述方法进行估值不能客观反映其公允价值的，基金管理人可根据具体情况与基金托管人商定后，按最能反映公允价值的价格估值。</w:t>
      </w:r>
    </w:p>
    <w:p w14:paraId="3346CC9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9、当发生大额申购或赎回情形时，基金管理人可以采用摆动定价机制，以确保基金估值的公平性。</w:t>
      </w:r>
    </w:p>
    <w:p w14:paraId="0DC7E7B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10、相关法律法规以及监管部门有强制规定的，从其规定。如有新增事项，按国家最新规定估值。</w:t>
      </w:r>
    </w:p>
    <w:p w14:paraId="0A4D5703">
      <w:pPr>
        <w:spacing w:line="360" w:lineRule="auto"/>
        <w:ind w:firstLine="480" w:firstLineChars="200"/>
        <w:rPr>
          <w:rStyle w:val="37"/>
          <w:bCs/>
          <w:color w:val="000000" w:themeColor="text1"/>
          <w:sz w:val="24"/>
          <w:lang w:eastAsia="zh-CN"/>
          <w14:textFill>
            <w14:solidFill>
              <w14:schemeClr w14:val="tx1"/>
            </w14:solidFill>
          </w14:textFill>
        </w:rPr>
      </w:pPr>
      <w:r>
        <w:rPr>
          <w:rStyle w:val="37"/>
          <w:bCs/>
          <w:color w:val="000000" w:themeColor="text1"/>
          <w:sz w:val="24"/>
          <w:lang w:eastAsia="zh-CN"/>
          <w14:textFill>
            <w14:solidFill>
              <w14:schemeClr w14:val="tx1"/>
            </w14:solidFill>
          </w14:textFill>
        </w:rPr>
        <w:t>如基金管理人或基金托管人发现基金估值违反基金合同订明的估值方法、程序及相关法律法规的规定或者未能充分维护基金份额持有人利益时，应立即通知对方，共同查明原因，双方协商解决。</w:t>
      </w:r>
    </w:p>
    <w:p w14:paraId="1FC475F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774B7866">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五</w:t>
      </w:r>
      <w:r>
        <w:rPr>
          <w:bCs/>
          <w:color w:val="000000" w:themeColor="text1"/>
          <w:sz w:val="24"/>
          <w:lang w:eastAsia="zh-CN"/>
          <w14:textFill>
            <w14:solidFill>
              <w14:schemeClr w14:val="tx1"/>
            </w14:solidFill>
          </w14:textFill>
        </w:rPr>
        <w:t>、估值程序</w:t>
      </w:r>
    </w:p>
    <w:p w14:paraId="6226338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1、基金份额净值是按照每个工作日闭市后，基金资产净值除以当日基金份额的余额数量计算，精确到</w:t>
      </w:r>
      <w:r>
        <w:rPr>
          <w:rFonts w:hint="eastAsia"/>
          <w:bCs/>
          <w:color w:val="000000" w:themeColor="text1"/>
          <w:sz w:val="24"/>
          <w:lang w:eastAsia="zh-CN"/>
          <w14:textFill>
            <w14:solidFill>
              <w14:schemeClr w14:val="tx1"/>
            </w14:solidFill>
          </w14:textFill>
        </w:rPr>
        <w:t>0.0001</w:t>
      </w:r>
      <w:r>
        <w:rPr>
          <w:bCs/>
          <w:color w:val="000000" w:themeColor="text1"/>
          <w:sz w:val="24"/>
          <w:lang w:eastAsia="zh-CN"/>
          <w14:textFill>
            <w14:solidFill>
              <w14:schemeClr w14:val="tx1"/>
            </w14:solidFill>
          </w14:textFill>
        </w:rPr>
        <w:t>元，小数点后第</w:t>
      </w: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位四舍五入。基金管理人可以设立大额赎回情形下的净值精度应急调整机制。国家另有规定的，从其规定。</w:t>
      </w:r>
    </w:p>
    <w:p w14:paraId="5D096E0D">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基金管理人</w:t>
      </w:r>
      <w:r>
        <w:rPr>
          <w:bCs/>
          <w:color w:val="000000" w:themeColor="text1"/>
          <w:sz w:val="24"/>
          <w:lang w:eastAsia="zh-CN"/>
          <w14:textFill>
            <w14:solidFill>
              <w14:schemeClr w14:val="tx1"/>
            </w14:solidFill>
          </w14:textFill>
        </w:rPr>
        <w:t>每个工作日计算基金资产净值及基金份额净值，并按规定公告。</w:t>
      </w:r>
    </w:p>
    <w:p w14:paraId="5F3F03C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w:t>
      </w:r>
      <w:r>
        <w:rPr>
          <w:rFonts w:hint="eastAsia"/>
          <w:bCs/>
          <w:color w:val="000000" w:themeColor="text1"/>
          <w:sz w:val="24"/>
          <w:lang w:eastAsia="zh-CN"/>
          <w14:textFill>
            <w14:solidFill>
              <w14:schemeClr w14:val="tx1"/>
            </w14:solidFill>
          </w14:textFill>
        </w:rPr>
        <w:t>按约定</w:t>
      </w:r>
      <w:r>
        <w:rPr>
          <w:bCs/>
          <w:color w:val="000000" w:themeColor="text1"/>
          <w:sz w:val="24"/>
          <w:lang w:eastAsia="zh-CN"/>
          <w14:textFill>
            <w14:solidFill>
              <w14:schemeClr w14:val="tx1"/>
            </w14:solidFill>
          </w14:textFill>
        </w:rPr>
        <w:t>对外公布。</w:t>
      </w:r>
    </w:p>
    <w:p w14:paraId="0A08F95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六</w:t>
      </w:r>
      <w:r>
        <w:rPr>
          <w:bCs/>
          <w:color w:val="000000" w:themeColor="text1"/>
          <w:sz w:val="24"/>
          <w:lang w:eastAsia="zh-CN"/>
          <w14:textFill>
            <w14:solidFill>
              <w14:schemeClr w14:val="tx1"/>
            </w14:solidFill>
          </w14:textFill>
        </w:rPr>
        <w:t>、估值错误的处理</w:t>
      </w:r>
    </w:p>
    <w:p w14:paraId="451C286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基金管理人和基金托管人将采取必要、适当、合理的措施确保基金资产估值的准确性、及时性。当基金份额净值小数点后</w:t>
      </w: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位以内（含第</w:t>
      </w: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位）发生估值错误时，视为基金份额净值错误。</w:t>
      </w:r>
    </w:p>
    <w:p w14:paraId="636060B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基金合同的当事人应按照以下约定处理：</w:t>
      </w:r>
    </w:p>
    <w:p w14:paraId="1D8D480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1、估值错误类型</w:t>
      </w:r>
    </w:p>
    <w:p w14:paraId="70419C5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6B4F166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上述估值错误的主要类型包括但不限于：资料申报差错、数据传输差错、数据计算差错、系统故障差错、下达指令差错等。</w:t>
      </w:r>
    </w:p>
    <w:p w14:paraId="1D882EB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2、估值错误处理原则</w:t>
      </w:r>
    </w:p>
    <w:p w14:paraId="7850756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1030670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）估值错误的责任方对有关当事人的直接损失负责，不对间接损失负责，并且仅对估值错误的有关直接当事人负责，不对第三方负责。</w:t>
      </w:r>
    </w:p>
    <w:p w14:paraId="43FC0A6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4DAF13E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）估值错误调整采用尽量恢复至假设未发生估值错误的正确情形的方式。</w:t>
      </w:r>
    </w:p>
    <w:p w14:paraId="2A539D1D">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（5）按法律法规规定的其他原则处理差错。</w:t>
      </w:r>
    </w:p>
    <w:p w14:paraId="65F3BFA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3、估值错误处理程序</w:t>
      </w:r>
    </w:p>
    <w:p w14:paraId="5DD8820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估值错误被发现后，有关的当事人应当及时进行处理，处理的程序如下：</w:t>
      </w:r>
    </w:p>
    <w:p w14:paraId="0439AB8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（1）查明估值错误发生的原因，列明所有的当事人，并根据估值错误发生的原因确定估值错误的责任方；</w:t>
      </w:r>
    </w:p>
    <w:p w14:paraId="1CB47D4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）根据估值错误处理原则或当事人协商的方法对因估值错误造成的损失进行评估；</w:t>
      </w:r>
    </w:p>
    <w:p w14:paraId="64D84DE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）根据估值错误处理原则或当事人协商的方法由估值错误的责任方进行更正和赔偿损失；</w:t>
      </w:r>
    </w:p>
    <w:p w14:paraId="1B5CC83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）根据估值错误处理的方法，需要修改基金登记机构交易数据的，由基金登记机构进行更正，并就估值错误的更正向有关当事人进行确认。</w:t>
      </w:r>
    </w:p>
    <w:p w14:paraId="2327E9D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4、基金份额净值估值错误处理的方法如下：</w:t>
      </w:r>
    </w:p>
    <w:p w14:paraId="47B724D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（1）基金份额净值计算出现错误时，基金管理人应当立即予以纠正，通报基金托管人，并采取合理的措施防止损失进一步扩大。</w:t>
      </w:r>
    </w:p>
    <w:p w14:paraId="0AC2C79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）错误偏差达到基金份额净值的0.25%时，基金管理人应当通报基金托管人并报中国证监会备案；错误偏差达到基金份额净值的0.5%时，基金管理人应当公告，并报中国证监会备案。</w:t>
      </w:r>
    </w:p>
    <w:p w14:paraId="17B0B0F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基金管理人和基金托管人由于各自技术系统设置而产生的净值计算尾差，以基金管理人计算结果为准。</w:t>
      </w:r>
    </w:p>
    <w:p w14:paraId="0E11A38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前述内容如法律法规或监管机关另有规定的，从其规定处理。</w:t>
      </w:r>
      <w:r>
        <w:rPr>
          <w:rFonts w:hint="eastAsia"/>
          <w:bCs/>
          <w:color w:val="000000" w:themeColor="text1"/>
          <w:sz w:val="24"/>
          <w:lang w:eastAsia="zh-CN"/>
          <w14:textFill>
            <w14:solidFill>
              <w14:schemeClr w14:val="tx1"/>
            </w14:solidFill>
          </w14:textFill>
        </w:rPr>
        <w:t>如果法律法规或监管机关没有规定的，基金管理人、基金托管人应本着平等和保护基金份额持有人利益的原则协商一致后参照行业惯例处理。</w:t>
      </w:r>
    </w:p>
    <w:p w14:paraId="79519735">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七</w:t>
      </w:r>
      <w:r>
        <w:rPr>
          <w:bCs/>
          <w:color w:val="000000" w:themeColor="text1"/>
          <w:sz w:val="24"/>
          <w:lang w:eastAsia="zh-CN"/>
          <w14:textFill>
            <w14:solidFill>
              <w14:schemeClr w14:val="tx1"/>
            </w14:solidFill>
          </w14:textFill>
        </w:rPr>
        <w:t>、暂停估值的情形</w:t>
      </w:r>
    </w:p>
    <w:p w14:paraId="0A9DFC6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1、基金投资所涉及的证券交易市场遇法定节假日或因其他原因暂停营业时；</w:t>
      </w:r>
    </w:p>
    <w:p w14:paraId="727B93A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2、因不可抗力致使基金管理人、基金托管人无法准确评估基金资产价值时；</w:t>
      </w:r>
    </w:p>
    <w:p w14:paraId="579380B0">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3、当特定资产占前一估值日基金资产净值50%以上的，经与基金托管人协商确认后，基金管理人应当暂停估值；</w:t>
      </w:r>
    </w:p>
    <w:p w14:paraId="4BDE8937">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法律法规、</w:t>
      </w:r>
      <w:r>
        <w:rPr>
          <w:bCs/>
          <w:color w:val="000000" w:themeColor="text1"/>
          <w:sz w:val="24"/>
          <w:lang w:eastAsia="zh-CN"/>
          <w14:textFill>
            <w14:solidFill>
              <w14:schemeClr w14:val="tx1"/>
            </w14:solidFill>
          </w14:textFill>
        </w:rPr>
        <w:t>中国证监会和基金合同认定的其它情形。</w:t>
      </w:r>
    </w:p>
    <w:p w14:paraId="7081A101">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八</w:t>
      </w:r>
      <w:r>
        <w:rPr>
          <w:bCs/>
          <w:color w:val="000000" w:themeColor="text1"/>
          <w:sz w:val="24"/>
          <w:lang w:eastAsia="zh-CN"/>
          <w14:textFill>
            <w14:solidFill>
              <w14:schemeClr w14:val="tx1"/>
            </w14:solidFill>
          </w14:textFill>
        </w:rPr>
        <w:t>、基金净值的确认</w:t>
      </w:r>
    </w:p>
    <w:p w14:paraId="484F4B0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用于基金信息披露的基金资产净值和基金份额净值由基金管理人负责计算，基金托管人负责进行复核。基金管理人应于每个</w:t>
      </w:r>
      <w:r>
        <w:rPr>
          <w:rFonts w:hint="eastAsia"/>
          <w:bCs/>
          <w:color w:val="000000" w:themeColor="text1"/>
          <w:sz w:val="24"/>
          <w:lang w:eastAsia="zh-CN"/>
          <w14:textFill>
            <w14:solidFill>
              <w14:schemeClr w14:val="tx1"/>
            </w14:solidFill>
          </w14:textFill>
        </w:rPr>
        <w:t>工作</w:t>
      </w:r>
      <w:r>
        <w:rPr>
          <w:bCs/>
          <w:color w:val="000000" w:themeColor="text1"/>
          <w:sz w:val="24"/>
          <w:lang w:eastAsia="zh-CN"/>
          <w14:textFill>
            <w14:solidFill>
              <w14:schemeClr w14:val="tx1"/>
            </w14:solidFill>
          </w14:textFill>
        </w:rPr>
        <w:t>日交易结束后计算当日的基金资产净值和基金份额净值并发送给基金托管人。基金托管人对净值计算结果复核确认后发送给基金管理人，由基金管理人对基金净值予以公布。</w:t>
      </w:r>
    </w:p>
    <w:p w14:paraId="25127FE8">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九、实施侧袋机制期间的基金资产估值</w:t>
      </w:r>
    </w:p>
    <w:p w14:paraId="43814411">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本基金实施侧袋机制的，应根据本部分的约定对主袋账户资产进行估值并披露主袋账户的基金净值信息，暂停披露侧袋账户份额净值。</w:t>
      </w:r>
    </w:p>
    <w:p w14:paraId="5C34C81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十、特殊情况的处理</w:t>
      </w:r>
    </w:p>
    <w:p w14:paraId="5C20EA5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、基金管理人或基金托管人按估值方法的第</w:t>
      </w:r>
      <w:r>
        <w:rPr>
          <w:bCs/>
          <w:color w:val="000000" w:themeColor="text1"/>
          <w:sz w:val="24"/>
          <w:lang w:eastAsia="zh-CN"/>
          <w14:textFill>
            <w14:solidFill>
              <w14:schemeClr w14:val="tx1"/>
            </w14:solidFill>
          </w14:textFill>
        </w:rPr>
        <w:t>8</w:t>
      </w:r>
      <w:r>
        <w:rPr>
          <w:rFonts w:hint="eastAsia"/>
          <w:bCs/>
          <w:color w:val="000000" w:themeColor="text1"/>
          <w:sz w:val="24"/>
          <w:lang w:eastAsia="zh-CN"/>
          <w14:textFill>
            <w14:solidFill>
              <w14:schemeClr w14:val="tx1"/>
            </w14:solidFill>
          </w14:textFill>
        </w:rPr>
        <w:t>项进行估值时，所造成的误差不作为基金资产估值错误处理。</w:t>
      </w:r>
    </w:p>
    <w:p w14:paraId="0E115578">
      <w:pPr>
        <w:spacing w:line="360" w:lineRule="auto"/>
        <w:ind w:firstLine="480" w:firstLineChars="200"/>
        <w:rPr>
          <w:b/>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由于不可抗力原因，或证券交易所、登记机构及存款银行等第三方结算公司等机构发送的数据错误等非基金管理人与基金托管人原因，基金管理人和基金托管人虽然已经采取必要、适当、合理的措施进行检查，但是未能发现该错误的，由此造成的基金财产估值错误，基金管理人和基金托管人免除赔偿责任。但基金管理人和基金托管人应当积极采取必要的措施消除或减轻由此造成的影响。</w:t>
      </w:r>
    </w:p>
    <w:bookmarkEnd w:id="68"/>
    <w:bookmarkEnd w:id="69"/>
    <w:p w14:paraId="7284C1BD">
      <w:pPr>
        <w:spacing w:line="424" w:lineRule="auto"/>
        <w:jc w:val="both"/>
        <w:rPr>
          <w:lang w:eastAsia="zh-CN"/>
        </w:rPr>
        <w:sectPr>
          <w:pgSz w:w="11910" w:h="16840"/>
          <w:pgMar w:top="1440" w:right="1800" w:bottom="1440" w:left="1800" w:header="873" w:footer="991" w:gutter="0"/>
          <w:cols w:space="720" w:num="1"/>
        </w:sectPr>
      </w:pPr>
    </w:p>
    <w:p w14:paraId="3ACA6430">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70" w:name="_bookmark14"/>
      <w:bookmarkEnd w:id="70"/>
      <w:bookmarkStart w:id="71" w:name="_Toc69831252"/>
      <w:r>
        <w:rPr>
          <w:rFonts w:ascii="Times New Roman" w:hAnsi="Times New Roman" w:cs="Times New Roman"/>
          <w:b/>
          <w:szCs w:val="20"/>
          <w:lang w:eastAsia="zh-CN" w:bidi="ar-SA"/>
        </w:rPr>
        <w:t>第十</w:t>
      </w:r>
      <w:r>
        <w:rPr>
          <w:rFonts w:hint="eastAsia" w:ascii="Times New Roman" w:hAnsi="Times New Roman" w:cs="Times New Roman"/>
          <w:b/>
          <w:szCs w:val="20"/>
          <w:lang w:eastAsia="zh-CN" w:bidi="ar-SA"/>
        </w:rPr>
        <w:t>四</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w:t>
      </w:r>
      <w:r>
        <w:rPr>
          <w:rFonts w:hint="eastAsia" w:ascii="Times New Roman" w:hAnsi="Times New Roman" w:cs="Times New Roman"/>
          <w:b/>
          <w:szCs w:val="20"/>
          <w:lang w:eastAsia="zh-CN" w:bidi="ar-SA"/>
        </w:rPr>
        <w:t>的收益与分配</w:t>
      </w:r>
      <w:bookmarkEnd w:id="71"/>
    </w:p>
    <w:p w14:paraId="601D344A">
      <w:pPr>
        <w:spacing w:line="360" w:lineRule="auto"/>
        <w:ind w:firstLine="540" w:firstLineChars="225"/>
        <w:rPr>
          <w:bCs/>
          <w:color w:val="000000"/>
          <w:sz w:val="24"/>
          <w:lang w:eastAsia="zh-CN"/>
        </w:rPr>
      </w:pPr>
    </w:p>
    <w:p w14:paraId="6DB36123">
      <w:pPr>
        <w:spacing w:line="360" w:lineRule="auto"/>
        <w:ind w:firstLine="540" w:firstLineChars="225"/>
        <w:rPr>
          <w:bCs/>
          <w:color w:val="000000" w:themeColor="text1"/>
          <w:sz w:val="24"/>
          <w:lang w:eastAsia="zh-CN"/>
          <w14:textFill>
            <w14:solidFill>
              <w14:schemeClr w14:val="tx1"/>
            </w14:solidFill>
          </w14:textFill>
        </w:rPr>
      </w:pPr>
      <w:bookmarkStart w:id="72" w:name="_Hlk97498181"/>
      <w:bookmarkStart w:id="73" w:name="_Hlk88079600"/>
      <w:r>
        <w:rPr>
          <w:bCs/>
          <w:color w:val="000000" w:themeColor="text1"/>
          <w:sz w:val="24"/>
          <w:lang w:eastAsia="zh-CN"/>
          <w14:textFill>
            <w14:solidFill>
              <w14:schemeClr w14:val="tx1"/>
            </w14:solidFill>
          </w14:textFill>
        </w:rPr>
        <w:t>一、基金利润的构成</w:t>
      </w:r>
    </w:p>
    <w:p w14:paraId="4EDC0FDB">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基金利润指基金利息收入、投资收益、公允价值变动收益和其他收入扣除相关费用后的余额，基金已实现收益指基金利润减去公允价值变动收益后的余额。</w:t>
      </w:r>
    </w:p>
    <w:p w14:paraId="75B21F92">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二、基金可供分配利润</w:t>
      </w:r>
    </w:p>
    <w:p w14:paraId="2F7C42B3">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基金可供分配利润指截至收益分配基准日基金未分配利润与未分配利润中已实现收益的孰低数。</w:t>
      </w:r>
    </w:p>
    <w:p w14:paraId="67A6FB0B">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三、基金收益分配原则</w:t>
      </w:r>
    </w:p>
    <w:p w14:paraId="35B4EEF2">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1、本基金收益分配方式分两种：现金分红与红利再投资，投资者可选择现金红利或将现金红利自动转为基金份额进行再投资；若投资者不选择，本基金默认的收益分配方式是现金分红；</w:t>
      </w:r>
    </w:p>
    <w:p w14:paraId="68CD1289">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2、基金收益分配后基金份额净值不能低于面值；即基金收益分配基准日的基金份额净值减去每单位基金份额收益分配金额后不能低于面值</w:t>
      </w:r>
      <w:r>
        <w:rPr>
          <w:rFonts w:hint="eastAsia"/>
          <w:bCs/>
          <w:color w:val="000000" w:themeColor="text1"/>
          <w:sz w:val="24"/>
          <w:lang w:eastAsia="zh-CN"/>
          <w14:textFill>
            <w14:solidFill>
              <w14:schemeClr w14:val="tx1"/>
            </w14:solidFill>
          </w14:textFill>
        </w:rPr>
        <w:t>；</w:t>
      </w:r>
    </w:p>
    <w:p w14:paraId="75E21B99">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3、每一基金份额享有同等分配权；</w:t>
      </w:r>
    </w:p>
    <w:p w14:paraId="6D2D8CA0">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4、法律法规或监管机关另有规定的，从其规定。</w:t>
      </w:r>
    </w:p>
    <w:p w14:paraId="1D471326">
      <w:pPr>
        <w:spacing w:line="360" w:lineRule="auto"/>
        <w:ind w:firstLine="540" w:firstLineChars="225"/>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在不违反法律法规且对基金份额持有人利益无实质不利影响的前提下，基金管理人可对基金收益分配原则进行调整，不需召开基金份额持有人大会。</w:t>
      </w:r>
    </w:p>
    <w:p w14:paraId="5D36734D">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四、收益分配方案</w:t>
      </w:r>
    </w:p>
    <w:p w14:paraId="4C82EBA9">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基金收益分配方案中应载明截止收益分配基准日的可供分配利润、基金收益分配对象、分配时间、分配数额及比例、分配方式等内容。</w:t>
      </w:r>
    </w:p>
    <w:p w14:paraId="28D4DB1D">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五、收益分配方案的确定、公告与实施</w:t>
      </w:r>
    </w:p>
    <w:p w14:paraId="3B98651E">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本基金收益分配方案由基金管理人拟定，并由基金托管人复核，在2日内在</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公告。</w:t>
      </w:r>
    </w:p>
    <w:p w14:paraId="55A67D36">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六、基金收益分配中发生的费用</w:t>
      </w:r>
    </w:p>
    <w:p w14:paraId="50B81CCF">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基金收益分配时所发生的银行转账或其他手续费用由投资者自行承担。当投资者的现金红利小于一定金额，不足</w:t>
      </w:r>
      <w:r>
        <w:rPr>
          <w:rFonts w:hint="eastAsia"/>
          <w:bCs/>
          <w:color w:val="000000" w:themeColor="text1"/>
          <w:sz w:val="24"/>
          <w:lang w:eastAsia="zh-CN"/>
          <w14:textFill>
            <w14:solidFill>
              <w14:schemeClr w14:val="tx1"/>
            </w14:solidFill>
          </w14:textFill>
        </w:rPr>
        <w:t>以</w:t>
      </w:r>
      <w:r>
        <w:rPr>
          <w:bCs/>
          <w:color w:val="000000" w:themeColor="text1"/>
          <w:sz w:val="24"/>
          <w:lang w:eastAsia="zh-CN"/>
          <w14:textFill>
            <w14:solidFill>
              <w14:schemeClr w14:val="tx1"/>
            </w14:solidFill>
          </w14:textFill>
        </w:rPr>
        <w:t>支付银行转账或其他手续费用时，基金登记机构可将基金份额持有人的现金红利自动转为基金份额。红利再投资的计算方法，依照《业务规则》执行。</w:t>
      </w:r>
    </w:p>
    <w:p w14:paraId="2C2CC145">
      <w:pPr>
        <w:spacing w:line="360" w:lineRule="auto"/>
        <w:ind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七、实施侧袋机制期间的收益分配</w:t>
      </w:r>
    </w:p>
    <w:p w14:paraId="65D829A9">
      <w:pPr>
        <w:spacing w:line="424" w:lineRule="auto"/>
        <w:rPr>
          <w:lang w:eastAsia="zh-CN"/>
        </w:rPr>
        <w:sectPr>
          <w:pgSz w:w="11910" w:h="16840"/>
          <w:pgMar w:top="1440" w:right="1800" w:bottom="1440" w:left="1800" w:header="873" w:footer="991" w:gutter="0"/>
          <w:cols w:space="720" w:num="1"/>
        </w:sectPr>
      </w:pPr>
      <w:r>
        <w:rPr>
          <w:rFonts w:hint="eastAsia"/>
          <w:color w:val="000000" w:themeColor="text1"/>
          <w:sz w:val="24"/>
          <w:lang w:eastAsia="zh-CN"/>
          <w14:textFill>
            <w14:solidFill>
              <w14:schemeClr w14:val="tx1"/>
            </w14:solidFill>
          </w14:textFill>
        </w:rPr>
        <w:t>本基金实施侧袋机制的，侧袋账户不进行收益分配，详见招募说明书的规定。</w:t>
      </w:r>
      <w:bookmarkEnd w:id="72"/>
      <w:bookmarkEnd w:id="73"/>
    </w:p>
    <w:p w14:paraId="185DE416">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74" w:name="_bookmark16"/>
      <w:bookmarkEnd w:id="74"/>
      <w:bookmarkStart w:id="75" w:name="_bookmark15"/>
      <w:bookmarkEnd w:id="75"/>
      <w:bookmarkStart w:id="76" w:name="_Toc69831253"/>
      <w:bookmarkStart w:id="77" w:name="_Toc69831254"/>
      <w:r>
        <w:rPr>
          <w:rFonts w:ascii="Times New Roman" w:hAnsi="Times New Roman" w:cs="Times New Roman"/>
          <w:b/>
          <w:szCs w:val="20"/>
          <w:lang w:eastAsia="zh-CN" w:bidi="ar-SA"/>
        </w:rPr>
        <w:t>第十</w:t>
      </w:r>
      <w:r>
        <w:rPr>
          <w:rFonts w:hint="eastAsia" w:ascii="Times New Roman" w:hAnsi="Times New Roman" w:cs="Times New Roman"/>
          <w:b/>
          <w:szCs w:val="20"/>
          <w:lang w:eastAsia="zh-CN" w:bidi="ar-SA"/>
        </w:rPr>
        <w:t>五</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基金的费用与税收</w:t>
      </w:r>
      <w:bookmarkEnd w:id="76"/>
    </w:p>
    <w:p w14:paraId="4D5CC961">
      <w:pPr>
        <w:spacing w:line="360" w:lineRule="auto"/>
        <w:ind w:firstLine="480" w:firstLineChars="200"/>
        <w:rPr>
          <w:bCs/>
          <w:color w:val="000000"/>
          <w:sz w:val="24"/>
          <w:lang w:eastAsia="zh-CN"/>
        </w:rPr>
      </w:pPr>
    </w:p>
    <w:p w14:paraId="7BEFBCAC">
      <w:pPr>
        <w:spacing w:line="360" w:lineRule="auto"/>
        <w:ind w:firstLine="480" w:firstLineChars="200"/>
        <w:rPr>
          <w:bCs/>
          <w:color w:val="000000" w:themeColor="text1"/>
          <w:sz w:val="24"/>
          <w:lang w:eastAsia="zh-CN"/>
          <w14:textFill>
            <w14:solidFill>
              <w14:schemeClr w14:val="tx1"/>
            </w14:solidFill>
          </w14:textFill>
        </w:rPr>
      </w:pPr>
      <w:bookmarkStart w:id="78" w:name="_Hlk88079641"/>
      <w:bookmarkStart w:id="79" w:name="_Hlk97498265"/>
      <w:r>
        <w:rPr>
          <w:bCs/>
          <w:color w:val="000000" w:themeColor="text1"/>
          <w:sz w:val="24"/>
          <w:lang w:eastAsia="zh-CN"/>
          <w14:textFill>
            <w14:solidFill>
              <w14:schemeClr w14:val="tx1"/>
            </w14:solidFill>
          </w14:textFill>
        </w:rPr>
        <w:t>一、基金费用的种类</w:t>
      </w:r>
    </w:p>
    <w:p w14:paraId="41B2321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1、基金管理人的管理费；</w:t>
      </w:r>
    </w:p>
    <w:p w14:paraId="2CF4749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2、基金托管人的托管费；</w:t>
      </w:r>
    </w:p>
    <w:p w14:paraId="1AAFD74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3、《基金合同》生效后与基金相关的信息披露费用；</w:t>
      </w:r>
    </w:p>
    <w:p w14:paraId="5917E3E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4、《基金合同》生效后与基金相关的会计师费、律师费</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诉讼费</w:t>
      </w:r>
      <w:r>
        <w:rPr>
          <w:rFonts w:hint="eastAsia"/>
          <w:bCs/>
          <w:color w:val="000000" w:themeColor="text1"/>
          <w:sz w:val="24"/>
          <w:lang w:eastAsia="zh-CN"/>
          <w14:textFill>
            <w14:solidFill>
              <w14:schemeClr w14:val="tx1"/>
            </w14:solidFill>
          </w14:textFill>
        </w:rPr>
        <w:t>和仲裁费等费用</w:t>
      </w:r>
      <w:r>
        <w:rPr>
          <w:bCs/>
          <w:color w:val="000000" w:themeColor="text1"/>
          <w:sz w:val="24"/>
          <w:lang w:eastAsia="zh-CN"/>
          <w14:textFill>
            <w14:solidFill>
              <w14:schemeClr w14:val="tx1"/>
            </w14:solidFill>
          </w14:textFill>
        </w:rPr>
        <w:t>；</w:t>
      </w:r>
    </w:p>
    <w:p w14:paraId="68F2937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5、基金份额持有人大会费用；</w:t>
      </w:r>
    </w:p>
    <w:p w14:paraId="2909A53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6、基金的证券交易费用；</w:t>
      </w:r>
    </w:p>
    <w:p w14:paraId="0DE025B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7、基金的银行汇划费用；</w:t>
      </w:r>
    </w:p>
    <w:p w14:paraId="7E69134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w:t>
      </w:r>
      <w:r>
        <w:rPr>
          <w:rFonts w:hint="eastAsia"/>
          <w:bCs/>
          <w:color w:val="000000" w:themeColor="text1"/>
          <w:sz w:val="24"/>
          <w:lang w:eastAsia="zh-CN"/>
          <w14:textFill>
            <w14:solidFill>
              <w14:schemeClr w14:val="tx1"/>
            </w14:solidFill>
          </w14:textFill>
        </w:rPr>
        <w:t>基金的账户开户费用、账户维护费用；</w:t>
      </w:r>
    </w:p>
    <w:p w14:paraId="2D8CDE5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9、按照国家有关规定和《基金合同》约定，可以在基金财产中列支的其他费用。</w:t>
      </w:r>
    </w:p>
    <w:p w14:paraId="656DB6F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二、基金费用计提方法、计提标准和支付方式</w:t>
      </w:r>
    </w:p>
    <w:p w14:paraId="1BC4684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1、基金管理人的管理费</w:t>
      </w:r>
    </w:p>
    <w:p w14:paraId="28B19132">
      <w:pPr>
        <w:spacing w:line="360" w:lineRule="auto"/>
        <w:ind w:firstLine="480" w:firstLineChars="200"/>
        <w:rPr>
          <w:bCs/>
          <w:sz w:val="24"/>
          <w:lang w:eastAsia="zh-CN"/>
        </w:rPr>
      </w:pPr>
      <w:r>
        <w:rPr>
          <w:bCs/>
          <w:sz w:val="24"/>
          <w:lang w:eastAsia="zh-CN"/>
        </w:rPr>
        <w:t>本基金的管理费按前一日基金资产净值的</w:t>
      </w:r>
      <w:r>
        <w:rPr>
          <w:szCs w:val="24"/>
          <w:lang w:eastAsia="zh-CN"/>
        </w:rPr>
        <w:t>0.30</w:t>
      </w:r>
      <w:r>
        <w:rPr>
          <w:bCs/>
          <w:sz w:val="24"/>
          <w:lang w:eastAsia="zh-CN"/>
        </w:rPr>
        <w:t>%年费率计提。管理费的计算方法如下：</w:t>
      </w:r>
    </w:p>
    <w:p w14:paraId="4DF5C0CD">
      <w:pPr>
        <w:spacing w:line="360" w:lineRule="auto"/>
        <w:ind w:firstLine="480" w:firstLineChars="200"/>
        <w:rPr>
          <w:bCs/>
          <w:color w:val="000000" w:themeColor="text1"/>
          <w:sz w:val="24"/>
          <w:lang w:eastAsia="zh-CN"/>
          <w14:textFill>
            <w14:solidFill>
              <w14:schemeClr w14:val="tx1"/>
            </w14:solidFill>
          </w14:textFill>
        </w:rPr>
      </w:pPr>
      <w:r>
        <w:rPr>
          <w:bCs/>
          <w:sz w:val="24"/>
          <w:lang w:eastAsia="zh-CN"/>
        </w:rPr>
        <w:t>H＝E×</w:t>
      </w:r>
      <w:r>
        <w:rPr>
          <w:szCs w:val="24"/>
          <w:lang w:eastAsia="zh-CN"/>
        </w:rPr>
        <w:t>0.30</w:t>
      </w:r>
      <w:r>
        <w:rPr>
          <w:bCs/>
          <w:sz w:val="24"/>
          <w:lang w:eastAsia="zh-CN"/>
        </w:rPr>
        <w:t>%÷当年天数</w:t>
      </w:r>
    </w:p>
    <w:p w14:paraId="2E8FA8F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H为每日应计提的基金管理费</w:t>
      </w:r>
    </w:p>
    <w:p w14:paraId="1BF54CA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E为前一日的基金资产净值</w:t>
      </w:r>
    </w:p>
    <w:p w14:paraId="5A0B632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费每日计算，逐日累计至每月月末，按月支付，由基金管理人向基金托管人发送基金管理费划款指令，基金托管人复核后于次月前5个工作日内从基金财产中一次性支付给基金管理人。若遇法定节假日、公休</w:t>
      </w:r>
      <w:r>
        <w:rPr>
          <w:rFonts w:hint="eastAsia"/>
          <w:bCs/>
          <w:color w:val="000000" w:themeColor="text1"/>
          <w:sz w:val="24"/>
          <w:lang w:eastAsia="zh-CN"/>
          <w14:textFill>
            <w14:solidFill>
              <w14:schemeClr w14:val="tx1"/>
            </w14:solidFill>
          </w14:textFill>
        </w:rPr>
        <w:t>日或不可抗力致使无法按时</w:t>
      </w:r>
      <w:r>
        <w:rPr>
          <w:bCs/>
          <w:color w:val="000000" w:themeColor="text1"/>
          <w:sz w:val="24"/>
          <w:lang w:eastAsia="zh-CN"/>
          <w14:textFill>
            <w14:solidFill>
              <w14:schemeClr w14:val="tx1"/>
            </w14:solidFill>
          </w14:textFill>
        </w:rPr>
        <w:t>支付</w:t>
      </w:r>
      <w:r>
        <w:rPr>
          <w:rFonts w:hint="eastAsia"/>
          <w:bCs/>
          <w:color w:val="000000" w:themeColor="text1"/>
          <w:sz w:val="24"/>
          <w:lang w:eastAsia="zh-CN"/>
          <w14:textFill>
            <w14:solidFill>
              <w14:schemeClr w14:val="tx1"/>
            </w14:solidFill>
          </w14:textFill>
        </w:rPr>
        <w:t>的，</w:t>
      </w:r>
      <w:r>
        <w:rPr>
          <w:bCs/>
          <w:color w:val="000000" w:themeColor="text1"/>
          <w:sz w:val="24"/>
          <w:lang w:eastAsia="zh-CN"/>
          <w14:textFill>
            <w14:solidFill>
              <w14:schemeClr w14:val="tx1"/>
            </w14:solidFill>
          </w14:textFill>
        </w:rPr>
        <w:t>顺延至最近可支付日支付。</w:t>
      </w:r>
    </w:p>
    <w:p w14:paraId="7E5CF2E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2、基金托管人的托管费</w:t>
      </w:r>
    </w:p>
    <w:p w14:paraId="1CC2AE82">
      <w:pPr>
        <w:spacing w:line="360" w:lineRule="auto"/>
        <w:ind w:firstLine="480" w:firstLineChars="200"/>
        <w:rPr>
          <w:bCs/>
          <w:sz w:val="24"/>
          <w:lang w:eastAsia="zh-CN"/>
        </w:rPr>
      </w:pPr>
      <w:r>
        <w:rPr>
          <w:bCs/>
          <w:sz w:val="24"/>
          <w:lang w:eastAsia="zh-CN"/>
        </w:rPr>
        <w:t>本基金的托管费按前一日基金资产净值的0.10%的年费率计提。托管费的计算方法如下：</w:t>
      </w:r>
    </w:p>
    <w:p w14:paraId="000AAC63">
      <w:pPr>
        <w:spacing w:line="360" w:lineRule="auto"/>
        <w:ind w:firstLine="480" w:firstLineChars="200"/>
        <w:rPr>
          <w:bCs/>
          <w:color w:val="000000" w:themeColor="text1"/>
          <w:sz w:val="24"/>
          <w:lang w:eastAsia="zh-CN"/>
          <w14:textFill>
            <w14:solidFill>
              <w14:schemeClr w14:val="tx1"/>
            </w14:solidFill>
          </w14:textFill>
        </w:rPr>
      </w:pPr>
      <w:r>
        <w:rPr>
          <w:bCs/>
          <w:sz w:val="24"/>
          <w:lang w:eastAsia="zh-CN"/>
        </w:rPr>
        <w:t>H＝E×0.10%÷当年天数</w:t>
      </w:r>
    </w:p>
    <w:p w14:paraId="24E33AD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H为每日应计提的基金托管费</w:t>
      </w:r>
    </w:p>
    <w:p w14:paraId="372ADD0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E为前一日的基金资产净值</w:t>
      </w:r>
    </w:p>
    <w:p w14:paraId="5B6AC07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基金托管费每日计算，逐日累计至每月月末，按月支付，由基金管理人向基金托管人发送基金托管费划款指令，基金托管人复核后于次月前5个工作日内从基金财产中一次性支取。若遇法定节假日、公休日</w:t>
      </w:r>
      <w:r>
        <w:rPr>
          <w:rFonts w:hint="eastAsia"/>
          <w:bCs/>
          <w:color w:val="000000" w:themeColor="text1"/>
          <w:sz w:val="24"/>
          <w:lang w:eastAsia="zh-CN"/>
          <w14:textFill>
            <w14:solidFill>
              <w14:schemeClr w14:val="tx1"/>
            </w14:solidFill>
          </w14:textFill>
        </w:rPr>
        <w:t>或不可抗力致使无法按时</w:t>
      </w:r>
      <w:r>
        <w:rPr>
          <w:bCs/>
          <w:color w:val="000000" w:themeColor="text1"/>
          <w:sz w:val="24"/>
          <w:lang w:eastAsia="zh-CN"/>
          <w14:textFill>
            <w14:solidFill>
              <w14:schemeClr w14:val="tx1"/>
            </w14:solidFill>
          </w14:textFill>
        </w:rPr>
        <w:t>支付</w:t>
      </w:r>
      <w:r>
        <w:rPr>
          <w:rFonts w:hint="eastAsia"/>
          <w:bCs/>
          <w:color w:val="000000" w:themeColor="text1"/>
          <w:sz w:val="24"/>
          <w:lang w:eastAsia="zh-CN"/>
          <w14:textFill>
            <w14:solidFill>
              <w14:schemeClr w14:val="tx1"/>
            </w14:solidFill>
          </w14:textFill>
        </w:rPr>
        <w:t>的，</w:t>
      </w:r>
      <w:r>
        <w:rPr>
          <w:bCs/>
          <w:color w:val="000000" w:themeColor="text1"/>
          <w:sz w:val="24"/>
          <w:lang w:eastAsia="zh-CN"/>
          <w14:textFill>
            <w14:solidFill>
              <w14:schemeClr w14:val="tx1"/>
            </w14:solidFill>
          </w14:textFill>
        </w:rPr>
        <w:t>顺延至最近可支付日支付。</w:t>
      </w:r>
    </w:p>
    <w:p w14:paraId="5A0AC78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上述“</w:t>
      </w:r>
      <w:r>
        <w:rPr>
          <w:rFonts w:hint="eastAsia"/>
          <w:bCs/>
          <w:color w:val="000000" w:themeColor="text1"/>
          <w:sz w:val="24"/>
          <w:lang w:eastAsia="zh-CN"/>
          <w14:textFill>
            <w14:solidFill>
              <w14:schemeClr w14:val="tx1"/>
            </w14:solidFill>
          </w14:textFill>
        </w:rPr>
        <w:t>一、</w:t>
      </w:r>
      <w:r>
        <w:rPr>
          <w:bCs/>
          <w:color w:val="000000" w:themeColor="text1"/>
          <w:sz w:val="24"/>
          <w:lang w:eastAsia="zh-CN"/>
          <w14:textFill>
            <w14:solidFill>
              <w14:schemeClr w14:val="tx1"/>
            </w14:solidFill>
          </w14:textFill>
        </w:rPr>
        <w:t>基金费用的种类</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中第3－9项费用，根据有关法规及相应协议规定，按费用实际支出金额列入</w:t>
      </w:r>
      <w:r>
        <w:rPr>
          <w:rFonts w:hint="eastAsia"/>
          <w:bCs/>
          <w:color w:val="000000" w:themeColor="text1"/>
          <w:sz w:val="24"/>
          <w:lang w:eastAsia="zh-CN"/>
          <w14:textFill>
            <w14:solidFill>
              <w14:schemeClr w14:val="tx1"/>
            </w14:solidFill>
          </w14:textFill>
        </w:rPr>
        <w:t>或摊入</w:t>
      </w:r>
      <w:r>
        <w:rPr>
          <w:bCs/>
          <w:color w:val="000000" w:themeColor="text1"/>
          <w:sz w:val="24"/>
          <w:lang w:eastAsia="zh-CN"/>
          <w14:textFill>
            <w14:solidFill>
              <w14:schemeClr w14:val="tx1"/>
            </w14:solidFill>
          </w14:textFill>
        </w:rPr>
        <w:t>当期费用，由基金托管人从基金财产中支付。</w:t>
      </w:r>
    </w:p>
    <w:p w14:paraId="51C6163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三、不列入基金费用的项目</w:t>
      </w:r>
    </w:p>
    <w:p w14:paraId="0EEC818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下列费用不列入基金费用：</w:t>
      </w:r>
    </w:p>
    <w:p w14:paraId="69256FF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1、基金管理人和基金托管人因未履行或未完全履行义务导致的费用支出或基金财产的损失；</w:t>
      </w:r>
    </w:p>
    <w:p w14:paraId="418074C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2、基金管理人和基金托管人处理与基金运作无关的事项发生的费用；</w:t>
      </w:r>
    </w:p>
    <w:p w14:paraId="5FA9E33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3、《基金合同》生效前的相关费用；</w:t>
      </w:r>
    </w:p>
    <w:p w14:paraId="5217BDD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4、其他根据相关法律法规及中国证监会的有关规定不得列入基金费用的项目。</w:t>
      </w:r>
    </w:p>
    <w:p w14:paraId="780B63FD">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四、实施侧袋机制期间的基金费用</w:t>
      </w:r>
    </w:p>
    <w:p w14:paraId="183C6459">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本基金实施侧袋机制的，与侧袋账户有关的费用可以从侧袋账户中列支，但应待侧袋账户资产变现后方可列支，有关费用可酌情收取或减免，但不得收取管理费，详见招募说明书“侧袋机制”部分的规定。</w:t>
      </w:r>
    </w:p>
    <w:p w14:paraId="10A21412">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五</w:t>
      </w:r>
      <w:r>
        <w:rPr>
          <w:bCs/>
          <w:color w:val="000000" w:themeColor="text1"/>
          <w:sz w:val="24"/>
          <w:lang w:eastAsia="zh-CN"/>
          <w14:textFill>
            <w14:solidFill>
              <w14:schemeClr w14:val="tx1"/>
            </w14:solidFill>
          </w14:textFill>
        </w:rPr>
        <w:t>、基金税收</w:t>
      </w:r>
    </w:p>
    <w:p w14:paraId="2ABA9A7E">
      <w:pPr>
        <w:adjustRightInd w:val="0"/>
        <w:snapToGrid w:val="0"/>
        <w:spacing w:line="360" w:lineRule="auto"/>
        <w:ind w:firstLine="480" w:firstLineChars="200"/>
        <w:rPr>
          <w:bCs/>
          <w:sz w:val="24"/>
          <w:highlight w:val="yellow"/>
          <w:lang w:eastAsia="zh-CN"/>
        </w:rPr>
      </w:pPr>
      <w:r>
        <w:rPr>
          <w:bCs/>
          <w:color w:val="000000" w:themeColor="text1"/>
          <w:sz w:val="24"/>
          <w:lang w:eastAsia="zh-CN"/>
          <w14:textFill>
            <w14:solidFill>
              <w14:schemeClr w14:val="tx1"/>
            </w14:solidFill>
          </w14:textFill>
        </w:rPr>
        <w:t>本基金运作过程中涉及的各纳税主体，其纳税义务按国家税收法律、法规执行。基金财产投资的相关税收，由基金份额持有人承担，基金管理人或者其他扣缴义务人按照国家有关税收征收的规定代扣代缴。</w:t>
      </w:r>
      <w:bookmarkEnd w:id="78"/>
    </w:p>
    <w:bookmarkEnd w:id="79"/>
    <w:p w14:paraId="5BE28C47">
      <w:pPr>
        <w:rPr>
          <w:lang w:eastAsia="zh-CN"/>
        </w:rPr>
      </w:pPr>
      <w:r>
        <w:rPr>
          <w:rFonts w:ascii="Times New Roman"/>
          <w:b/>
          <w:bCs/>
          <w:sz w:val="30"/>
          <w:lang w:eastAsia="zh-CN"/>
        </w:rPr>
        <w:br w:type="page"/>
      </w:r>
      <w:bookmarkStart w:id="80" w:name="_Hlt88827255"/>
      <w:bookmarkEnd w:id="80"/>
    </w:p>
    <w:p w14:paraId="70B5D0BF">
      <w:pPr>
        <w:rPr>
          <w:lang w:eastAsia="zh-CN"/>
        </w:rPr>
        <w:sectPr>
          <w:pgSz w:w="11910" w:h="16840"/>
          <w:pgMar w:top="1440" w:right="1800" w:bottom="1440" w:left="1800" w:header="873" w:footer="991" w:gutter="0"/>
          <w:cols w:space="720" w:num="1"/>
        </w:sectPr>
      </w:pPr>
    </w:p>
    <w:p w14:paraId="612196A4">
      <w:pPr>
        <w:pStyle w:val="2"/>
        <w:keepNext/>
        <w:keepLines/>
        <w:autoSpaceDE/>
        <w:autoSpaceDN/>
        <w:spacing w:before="0" w:line="360" w:lineRule="auto"/>
        <w:ind w:left="0"/>
        <w:jc w:val="center"/>
        <w:rPr>
          <w:rFonts w:ascii="Times New Roman" w:hAnsi="Times New Roman" w:cs="Times New Roman"/>
          <w:b/>
          <w:szCs w:val="20"/>
          <w:lang w:eastAsia="zh-CN" w:bidi="ar-SA"/>
        </w:rPr>
      </w:pPr>
      <w:r>
        <w:rPr>
          <w:rFonts w:ascii="Times New Roman" w:hAnsi="Times New Roman" w:cs="Times New Roman"/>
          <w:b/>
          <w:szCs w:val="20"/>
          <w:lang w:eastAsia="zh-CN" w:bidi="ar-SA"/>
        </w:rPr>
        <w:t>第十</w:t>
      </w:r>
      <w:r>
        <w:rPr>
          <w:rFonts w:hint="eastAsia" w:ascii="Times New Roman" w:hAnsi="Times New Roman" w:cs="Times New Roman"/>
          <w:b/>
          <w:szCs w:val="20"/>
          <w:lang w:eastAsia="zh-CN" w:bidi="ar-SA"/>
        </w:rPr>
        <w:t>六</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基金的会计与审计</w:t>
      </w:r>
      <w:bookmarkEnd w:id="77"/>
    </w:p>
    <w:p w14:paraId="48283B91">
      <w:pPr>
        <w:spacing w:line="360" w:lineRule="auto"/>
        <w:ind w:firstLine="480" w:firstLineChars="200"/>
        <w:rPr>
          <w:bCs/>
          <w:color w:val="000000"/>
          <w:sz w:val="24"/>
          <w:lang w:eastAsia="zh-CN"/>
        </w:rPr>
      </w:pPr>
    </w:p>
    <w:p w14:paraId="632EDC96">
      <w:pPr>
        <w:spacing w:line="360" w:lineRule="auto"/>
        <w:ind w:firstLine="480" w:firstLineChars="200"/>
        <w:rPr>
          <w:bCs/>
          <w:color w:val="000000" w:themeColor="text1"/>
          <w:sz w:val="24"/>
          <w:lang w:eastAsia="zh-CN"/>
          <w14:textFill>
            <w14:solidFill>
              <w14:schemeClr w14:val="tx1"/>
            </w14:solidFill>
          </w14:textFill>
        </w:rPr>
      </w:pPr>
      <w:bookmarkStart w:id="81" w:name="_Hlk88079683"/>
      <w:r>
        <w:rPr>
          <w:bCs/>
          <w:color w:val="000000" w:themeColor="text1"/>
          <w:sz w:val="24"/>
          <w:lang w:eastAsia="zh-CN"/>
          <w14:textFill>
            <w14:solidFill>
              <w14:schemeClr w14:val="tx1"/>
            </w14:solidFill>
          </w14:textFill>
        </w:rPr>
        <w:t>一、基金会计政策</w:t>
      </w:r>
    </w:p>
    <w:p w14:paraId="6D4E1E9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1、基金管理人为本基金的基金会计责任方；</w:t>
      </w:r>
    </w:p>
    <w:p w14:paraId="7C9DD6C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2、基金的会计年度为公历年度的1月1日至12月31日；基金首次募集的会计年度按如下原则：如果《基金合同》生效少于2个月，可以并入下一个会计年度披露；</w:t>
      </w:r>
    </w:p>
    <w:p w14:paraId="34F7C45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3、基金核算以人民币为记账本位币，以人民币元为记账单位；</w:t>
      </w:r>
    </w:p>
    <w:p w14:paraId="49A665E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4、会计制度执行国家有关会计制度；</w:t>
      </w:r>
    </w:p>
    <w:p w14:paraId="03860B9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5、本基金独立建账、独立核算；</w:t>
      </w:r>
    </w:p>
    <w:p w14:paraId="2CEBB9E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6、基金管理人及基金托管人各自保留完整的会计账目、凭证并进行日常的会计核算，按照有关规定编制基金会计报表；</w:t>
      </w:r>
    </w:p>
    <w:p w14:paraId="39D8EE6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7、基金托管人每月与基金管理人就基金的会计核算、报表编制等进行核对并以</w:t>
      </w:r>
      <w:r>
        <w:rPr>
          <w:rFonts w:hint="eastAsia"/>
          <w:bCs/>
          <w:color w:val="000000" w:themeColor="text1"/>
          <w:sz w:val="24"/>
          <w:lang w:eastAsia="zh-CN"/>
          <w14:textFill>
            <w14:solidFill>
              <w14:schemeClr w14:val="tx1"/>
            </w14:solidFill>
          </w14:textFill>
        </w:rPr>
        <w:t>基金管理人、基金托管人约定的</w:t>
      </w:r>
      <w:r>
        <w:rPr>
          <w:bCs/>
          <w:color w:val="000000" w:themeColor="text1"/>
          <w:sz w:val="24"/>
          <w:lang w:eastAsia="zh-CN"/>
          <w14:textFill>
            <w14:solidFill>
              <w14:schemeClr w14:val="tx1"/>
            </w14:solidFill>
          </w14:textFill>
        </w:rPr>
        <w:t>方式确认。</w:t>
      </w:r>
    </w:p>
    <w:p w14:paraId="7F551F1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二、基金的年度审计</w:t>
      </w:r>
    </w:p>
    <w:p w14:paraId="03566A2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1、基金管理人聘请与基金管理人、基金托管人相互独立的</w:t>
      </w:r>
      <w:r>
        <w:rPr>
          <w:rFonts w:hint="eastAsia"/>
          <w:bCs/>
          <w:color w:val="000000" w:themeColor="text1"/>
          <w:sz w:val="24"/>
          <w:lang w:eastAsia="zh-CN"/>
          <w14:textFill>
            <w14:solidFill>
              <w14:schemeClr w14:val="tx1"/>
            </w14:solidFill>
          </w14:textFill>
        </w:rPr>
        <w:t>符合《中华人民共和国证券法》规定</w:t>
      </w:r>
      <w:r>
        <w:rPr>
          <w:bCs/>
          <w:color w:val="000000" w:themeColor="text1"/>
          <w:sz w:val="24"/>
          <w:lang w:eastAsia="zh-CN"/>
          <w14:textFill>
            <w14:solidFill>
              <w14:schemeClr w14:val="tx1"/>
            </w14:solidFill>
          </w14:textFill>
        </w:rPr>
        <w:t>的会计师事务所及其注册会计师对本基金的年度财务报表进行审计。</w:t>
      </w:r>
    </w:p>
    <w:p w14:paraId="63C1328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2、会计师事务所更换经办注册会计师，应事先征得基金管理人同意。</w:t>
      </w:r>
    </w:p>
    <w:p w14:paraId="70433829">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3、基金管理人认为有充足理由更换会计师事务所，须通报基金托管人。更换会计师事务所需在2日内在</w:t>
      </w:r>
      <w:r>
        <w:rPr>
          <w:rFonts w:hint="eastAsia"/>
          <w:bCs/>
          <w:color w:val="000000" w:themeColor="text1"/>
          <w:sz w:val="24"/>
          <w:lang w:eastAsia="zh-CN"/>
          <w14:textFill>
            <w14:solidFill>
              <w14:schemeClr w14:val="tx1"/>
            </w14:solidFill>
          </w14:textFill>
        </w:rPr>
        <w:t>规定媒介</w:t>
      </w:r>
      <w:r>
        <w:rPr>
          <w:bCs/>
          <w:color w:val="000000" w:themeColor="text1"/>
          <w:sz w:val="24"/>
          <w:lang w:eastAsia="zh-CN"/>
          <w14:textFill>
            <w14:solidFill>
              <w14:schemeClr w14:val="tx1"/>
            </w14:solidFill>
          </w14:textFill>
        </w:rPr>
        <w:t>公告。</w:t>
      </w:r>
    </w:p>
    <w:bookmarkEnd w:id="81"/>
    <w:p w14:paraId="7B0E3F3F">
      <w:pPr>
        <w:spacing w:line="424" w:lineRule="auto"/>
        <w:rPr>
          <w:lang w:eastAsia="zh-CN"/>
        </w:rPr>
        <w:sectPr>
          <w:pgSz w:w="11910" w:h="16840"/>
          <w:pgMar w:top="1440" w:right="1800" w:bottom="1440" w:left="1800" w:header="873" w:footer="991" w:gutter="0"/>
          <w:cols w:space="720" w:num="1"/>
        </w:sectPr>
      </w:pPr>
    </w:p>
    <w:p w14:paraId="748A96BE">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82" w:name="_bookmark17"/>
      <w:bookmarkEnd w:id="82"/>
      <w:bookmarkStart w:id="83" w:name="_Toc69831255"/>
      <w:r>
        <w:rPr>
          <w:rFonts w:ascii="Times New Roman" w:hAnsi="Times New Roman" w:cs="Times New Roman"/>
          <w:b/>
          <w:szCs w:val="20"/>
          <w:lang w:eastAsia="zh-CN" w:bidi="ar-SA"/>
        </w:rPr>
        <w:t>第十</w:t>
      </w:r>
      <w:r>
        <w:rPr>
          <w:rFonts w:hint="eastAsia" w:ascii="Times New Roman" w:hAnsi="Times New Roman" w:cs="Times New Roman"/>
          <w:b/>
          <w:szCs w:val="20"/>
          <w:lang w:eastAsia="zh-CN" w:bidi="ar-SA"/>
        </w:rPr>
        <w:t>七</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基金的信息披露</w:t>
      </w:r>
      <w:bookmarkEnd w:id="83"/>
    </w:p>
    <w:p w14:paraId="7AF98942">
      <w:pPr>
        <w:spacing w:line="360" w:lineRule="auto"/>
        <w:ind w:firstLine="480" w:firstLineChars="200"/>
        <w:rPr>
          <w:bCs/>
          <w:color w:val="000000"/>
          <w:sz w:val="24"/>
          <w:lang w:eastAsia="zh-CN"/>
        </w:rPr>
      </w:pPr>
    </w:p>
    <w:p w14:paraId="0B76854B">
      <w:pPr>
        <w:spacing w:line="360" w:lineRule="auto"/>
        <w:ind w:firstLine="480" w:firstLineChars="200"/>
        <w:rPr>
          <w:bCs/>
          <w:color w:val="000000" w:themeColor="text1"/>
          <w:sz w:val="24"/>
          <w:lang w:eastAsia="zh-CN"/>
          <w14:textFill>
            <w14:solidFill>
              <w14:schemeClr w14:val="tx1"/>
            </w14:solidFill>
          </w14:textFill>
        </w:rPr>
      </w:pPr>
      <w:bookmarkStart w:id="84" w:name="_Hlk88079726"/>
      <w:bookmarkStart w:id="85" w:name="_Hlk97498353"/>
      <w:r>
        <w:rPr>
          <w:bCs/>
          <w:color w:val="000000" w:themeColor="text1"/>
          <w:sz w:val="24"/>
          <w:lang w:eastAsia="zh-CN"/>
          <w14:textFill>
            <w14:solidFill>
              <w14:schemeClr w14:val="tx1"/>
            </w14:solidFill>
          </w14:textFill>
        </w:rPr>
        <w:t>一、本基金的信息披露应符合《基金法》、《运作办法》、《信息披露办法》、</w:t>
      </w:r>
      <w:r>
        <w:rPr>
          <w:rFonts w:hint="eastAsia"/>
          <w:bCs/>
          <w:color w:val="000000" w:themeColor="text1"/>
          <w:sz w:val="24"/>
          <w:lang w:eastAsia="zh-CN"/>
          <w14:textFill>
            <w14:solidFill>
              <w14:schemeClr w14:val="tx1"/>
            </w14:solidFill>
          </w14:textFill>
        </w:rPr>
        <w:t>《流动性风险管理规定》、</w:t>
      </w:r>
      <w:r>
        <w:rPr>
          <w:bCs/>
          <w:color w:val="000000" w:themeColor="text1"/>
          <w:sz w:val="24"/>
          <w:lang w:eastAsia="zh-CN"/>
          <w14:textFill>
            <w14:solidFill>
              <w14:schemeClr w14:val="tx1"/>
            </w14:solidFill>
          </w14:textFill>
        </w:rPr>
        <w:t>《基金合同》及其他有关规定。</w:t>
      </w:r>
    </w:p>
    <w:p w14:paraId="7F559DD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二、信息披露义务人</w:t>
      </w:r>
    </w:p>
    <w:p w14:paraId="716867F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本基金信息披露义务人包括基金管理人、基金托管人、召集基金份额持有人大会的基金份额持有人等法律法规和中国证监会规定的自然人、法人和</w:t>
      </w:r>
      <w:r>
        <w:rPr>
          <w:rFonts w:hint="eastAsia"/>
          <w:bCs/>
          <w:color w:val="000000" w:themeColor="text1"/>
          <w:sz w:val="24"/>
          <w:lang w:eastAsia="zh-CN"/>
          <w14:textFill>
            <w14:solidFill>
              <w14:schemeClr w14:val="tx1"/>
            </w14:solidFill>
          </w14:textFill>
        </w:rPr>
        <w:t>非法人</w:t>
      </w:r>
      <w:r>
        <w:rPr>
          <w:bCs/>
          <w:color w:val="000000" w:themeColor="text1"/>
          <w:sz w:val="24"/>
          <w:lang w:eastAsia="zh-CN"/>
          <w14:textFill>
            <w14:solidFill>
              <w14:schemeClr w14:val="tx1"/>
            </w14:solidFill>
          </w14:textFill>
        </w:rPr>
        <w:t>组织。</w:t>
      </w:r>
    </w:p>
    <w:p w14:paraId="1B8A29B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本基金信息披露义务人</w:t>
      </w:r>
      <w:r>
        <w:rPr>
          <w:rFonts w:hint="eastAsia"/>
          <w:bCs/>
          <w:color w:val="000000" w:themeColor="text1"/>
          <w:sz w:val="24"/>
          <w:lang w:eastAsia="zh-CN"/>
          <w14:textFill>
            <w14:solidFill>
              <w14:schemeClr w14:val="tx1"/>
            </w14:solidFill>
          </w14:textFill>
        </w:rPr>
        <w:t>以保护基金份额持有人利益为根本出发点，</w:t>
      </w:r>
      <w:r>
        <w:rPr>
          <w:bCs/>
          <w:color w:val="000000" w:themeColor="text1"/>
          <w:sz w:val="24"/>
          <w:lang w:eastAsia="zh-CN"/>
          <w14:textFill>
            <w14:solidFill>
              <w14:schemeClr w14:val="tx1"/>
            </w14:solidFill>
          </w14:textFill>
        </w:rPr>
        <w:t>按照法律法规和中国证监会的规定披露基金信息，并保证所披露信息的真实性、准确性和完整性</w:t>
      </w:r>
      <w:r>
        <w:rPr>
          <w:rFonts w:hint="eastAsia"/>
          <w:bCs/>
          <w:color w:val="000000" w:themeColor="text1"/>
          <w:sz w:val="24"/>
          <w:lang w:eastAsia="zh-CN"/>
          <w14:textFill>
            <w14:solidFill>
              <w14:schemeClr w14:val="tx1"/>
            </w14:solidFill>
          </w14:textFill>
        </w:rPr>
        <w:t>、及时性、简明性和易得性</w:t>
      </w:r>
      <w:r>
        <w:rPr>
          <w:bCs/>
          <w:color w:val="000000" w:themeColor="text1"/>
          <w:sz w:val="24"/>
          <w:lang w:eastAsia="zh-CN"/>
          <w14:textFill>
            <w14:solidFill>
              <w14:schemeClr w14:val="tx1"/>
            </w14:solidFill>
          </w14:textFill>
        </w:rPr>
        <w:t>。</w:t>
      </w:r>
    </w:p>
    <w:p w14:paraId="5C04F69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本基金信息披露义务人应当在中国证监会规定时间内，将应予披露的基金信息通过符合中国证监会</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定条件的</w:t>
      </w:r>
      <w:r>
        <w:rPr>
          <w:rFonts w:hint="eastAsia"/>
          <w:bCs/>
          <w:color w:val="000000" w:themeColor="text1"/>
          <w:sz w:val="24"/>
          <w:lang w:eastAsia="zh-CN"/>
          <w14:textFill>
            <w14:solidFill>
              <w14:schemeClr w14:val="tx1"/>
            </w14:solidFill>
          </w14:textFill>
        </w:rPr>
        <w:t>全国性报刊</w:t>
      </w:r>
      <w:r>
        <w:rPr>
          <w:bCs/>
          <w:color w:val="000000" w:themeColor="text1"/>
          <w:sz w:val="24"/>
          <w:lang w:eastAsia="zh-CN"/>
          <w14:textFill>
            <w14:solidFill>
              <w14:schemeClr w14:val="tx1"/>
            </w14:solidFill>
          </w14:textFill>
        </w:rPr>
        <w:t>（以下简称“</w:t>
      </w:r>
      <w:r>
        <w:rPr>
          <w:rFonts w:hint="eastAsia"/>
          <w:bCs/>
          <w:color w:val="000000" w:themeColor="text1"/>
          <w:sz w:val="24"/>
          <w:lang w:eastAsia="zh-CN"/>
          <w14:textFill>
            <w14:solidFill>
              <w14:schemeClr w14:val="tx1"/>
            </w14:solidFill>
          </w14:textFill>
        </w:rPr>
        <w:t>规定报刊</w:t>
      </w: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 xml:space="preserve"> 及《信息披露办法》规定的</w:t>
      </w:r>
      <w:r>
        <w:rPr>
          <w:bCs/>
          <w:color w:val="000000" w:themeColor="text1"/>
          <w:sz w:val="24"/>
          <w:lang w:eastAsia="zh-CN"/>
          <w14:textFill>
            <w14:solidFill>
              <w14:schemeClr w14:val="tx1"/>
            </w14:solidFill>
          </w14:textFill>
        </w:rPr>
        <w:t>互联网网站（以下简称“规定网站”）等媒介披露，并保证基金投资者能够按照《基金合同》约定的时间和方式查阅或者复制公开披露的信息资料。</w:t>
      </w:r>
    </w:p>
    <w:p w14:paraId="1D2DF69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三、本基金信息披露义务人承诺公开披露的基金信息，不得有下列行为：</w:t>
      </w:r>
    </w:p>
    <w:p w14:paraId="095F64C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1、虚假记载、误导性陈述或者重大遗漏；</w:t>
      </w:r>
    </w:p>
    <w:p w14:paraId="75E1492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2、对证券投资业绩进行预测；</w:t>
      </w:r>
    </w:p>
    <w:p w14:paraId="604E527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3、违规承诺收益或者承担损失；</w:t>
      </w:r>
    </w:p>
    <w:p w14:paraId="5426957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4、诋毁其他基金管理人、基金托管人或者基金销售机构；</w:t>
      </w:r>
    </w:p>
    <w:p w14:paraId="026C991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5、登载任何自然人、法人</w:t>
      </w:r>
      <w:r>
        <w:rPr>
          <w:rFonts w:hint="eastAsia"/>
          <w:bCs/>
          <w:color w:val="000000" w:themeColor="text1"/>
          <w:sz w:val="24"/>
          <w:lang w:eastAsia="zh-CN"/>
          <w14:textFill>
            <w14:solidFill>
              <w14:schemeClr w14:val="tx1"/>
            </w14:solidFill>
          </w14:textFill>
        </w:rPr>
        <w:t>和非法人</w:t>
      </w:r>
      <w:r>
        <w:rPr>
          <w:bCs/>
          <w:color w:val="000000" w:themeColor="text1"/>
          <w:sz w:val="24"/>
          <w:lang w:eastAsia="zh-CN"/>
          <w14:textFill>
            <w14:solidFill>
              <w14:schemeClr w14:val="tx1"/>
            </w14:solidFill>
          </w14:textFill>
        </w:rPr>
        <w:t>组织的祝贺性、恭维性或推荐性的文字；</w:t>
      </w:r>
    </w:p>
    <w:p w14:paraId="7F7FF97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6、中国证监会禁止的其他行为。</w:t>
      </w:r>
    </w:p>
    <w:p w14:paraId="7CFB8D0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四、本基金公开披露的信息应采用中文文本。如同时采用外文文本的，基金信息披露义务人应保证</w:t>
      </w:r>
      <w:r>
        <w:rPr>
          <w:rFonts w:hint="eastAsia"/>
          <w:bCs/>
          <w:color w:val="000000" w:themeColor="text1"/>
          <w:sz w:val="24"/>
          <w:lang w:eastAsia="zh-CN"/>
          <w14:textFill>
            <w14:solidFill>
              <w14:schemeClr w14:val="tx1"/>
            </w14:solidFill>
          </w14:textFill>
        </w:rPr>
        <w:t>不同</w:t>
      </w:r>
      <w:r>
        <w:rPr>
          <w:bCs/>
          <w:color w:val="000000" w:themeColor="text1"/>
          <w:sz w:val="24"/>
          <w:lang w:eastAsia="zh-CN"/>
          <w14:textFill>
            <w14:solidFill>
              <w14:schemeClr w14:val="tx1"/>
            </w14:solidFill>
          </w14:textFill>
        </w:rPr>
        <w:t>文本的内容一致。</w:t>
      </w:r>
      <w:r>
        <w:rPr>
          <w:rFonts w:hint="eastAsia"/>
          <w:bCs/>
          <w:color w:val="000000" w:themeColor="text1"/>
          <w:sz w:val="24"/>
          <w:lang w:eastAsia="zh-CN"/>
          <w14:textFill>
            <w14:solidFill>
              <w14:schemeClr w14:val="tx1"/>
            </w14:solidFill>
          </w14:textFill>
        </w:rPr>
        <w:t>不同</w:t>
      </w:r>
      <w:r>
        <w:rPr>
          <w:bCs/>
          <w:color w:val="000000" w:themeColor="text1"/>
          <w:sz w:val="24"/>
          <w:lang w:eastAsia="zh-CN"/>
          <w14:textFill>
            <w14:solidFill>
              <w14:schemeClr w14:val="tx1"/>
            </w14:solidFill>
          </w14:textFill>
        </w:rPr>
        <w:t>文本之间发生歧义的，以中文文本为准。</w:t>
      </w:r>
    </w:p>
    <w:p w14:paraId="2CBA980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本基金公开披露的信息采用阿拉伯数字；除特别说明外，货币单位为人民币元。</w:t>
      </w:r>
    </w:p>
    <w:p w14:paraId="4234C2E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五、公开披露的基金信息</w:t>
      </w:r>
    </w:p>
    <w:p w14:paraId="0C782A5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公开披露的基金信息包括：</w:t>
      </w:r>
    </w:p>
    <w:p w14:paraId="63295F7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（一）基金招募说明书、《基金合同》、基金托管协议</w:t>
      </w:r>
      <w:r>
        <w:rPr>
          <w:rFonts w:hint="eastAsia"/>
          <w:bCs/>
          <w:color w:val="000000" w:themeColor="text1"/>
          <w:sz w:val="24"/>
          <w:lang w:eastAsia="zh-CN"/>
          <w14:textFill>
            <w14:solidFill>
              <w14:schemeClr w14:val="tx1"/>
            </w14:solidFill>
          </w14:textFill>
        </w:rPr>
        <w:t>、基金产品资料概要</w:t>
      </w:r>
    </w:p>
    <w:p w14:paraId="011556E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1、《基金合同》是界定《基金合同》当事人的各项权利、义务关系，明确基金份额持有人大会召开的规则及具体程序，说明基金产品的特性等涉及基金投资者重大利益的事项的法律文件。</w:t>
      </w:r>
    </w:p>
    <w:p w14:paraId="684005F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color w:val="000000" w:themeColor="text1"/>
          <w:sz w:val="24"/>
          <w:lang w:eastAsia="zh-CN"/>
          <w14:textFill>
            <w14:solidFill>
              <w14:schemeClr w14:val="tx1"/>
            </w14:solidFill>
          </w14:textFill>
        </w:rPr>
        <w:t>基金招募说明书的信息发生重大变更的，</w:t>
      </w:r>
      <w:r>
        <w:rPr>
          <w:bCs/>
          <w:color w:val="000000" w:themeColor="text1"/>
          <w:sz w:val="24"/>
          <w:lang w:eastAsia="zh-CN"/>
          <w14:textFill>
            <w14:solidFill>
              <w14:schemeClr w14:val="tx1"/>
            </w14:solidFill>
          </w14:textFill>
        </w:rPr>
        <w:t>基金管理人</w:t>
      </w:r>
      <w:r>
        <w:rPr>
          <w:rFonts w:hint="eastAsia"/>
          <w:bCs/>
          <w:color w:val="000000" w:themeColor="text1"/>
          <w:sz w:val="24"/>
          <w:lang w:eastAsia="zh-CN"/>
          <w14:textFill>
            <w14:solidFill>
              <w14:schemeClr w14:val="tx1"/>
            </w14:solidFill>
          </w14:textFill>
        </w:rPr>
        <w:t>应当</w:t>
      </w:r>
      <w:r>
        <w:rPr>
          <w:bCs/>
          <w:color w:val="000000" w:themeColor="text1"/>
          <w:sz w:val="24"/>
          <w:lang w:eastAsia="zh-CN"/>
          <w14:textFill>
            <w14:solidFill>
              <w14:schemeClr w14:val="tx1"/>
            </w14:solidFill>
          </w14:textFill>
        </w:rPr>
        <w:t>在</w:t>
      </w:r>
      <w:r>
        <w:rPr>
          <w:rFonts w:hint="eastAsia"/>
          <w:bCs/>
          <w:color w:val="000000" w:themeColor="text1"/>
          <w:sz w:val="24"/>
          <w:lang w:eastAsia="zh-CN"/>
          <w14:textFill>
            <w14:solidFill>
              <w14:schemeClr w14:val="tx1"/>
            </w14:solidFill>
          </w14:textFill>
        </w:rPr>
        <w:t>三个工作日</w:t>
      </w:r>
      <w:r>
        <w:rPr>
          <w:bCs/>
          <w:color w:val="000000" w:themeColor="text1"/>
          <w:sz w:val="24"/>
          <w:lang w:eastAsia="zh-CN"/>
          <w14:textFill>
            <w14:solidFill>
              <w14:schemeClr w14:val="tx1"/>
            </w14:solidFill>
          </w14:textFill>
        </w:rPr>
        <w:t>内，更新基金招募说明书并登载在规定网站上</w:t>
      </w:r>
      <w:r>
        <w:rPr>
          <w:rFonts w:hint="eastAsia"/>
          <w:bCs/>
          <w:color w:val="000000" w:themeColor="text1"/>
          <w:sz w:val="24"/>
          <w:lang w:eastAsia="zh-CN"/>
          <w14:textFill>
            <w14:solidFill>
              <w14:schemeClr w14:val="tx1"/>
            </w14:solidFill>
          </w14:textFill>
        </w:rPr>
        <w:t>；基金</w:t>
      </w:r>
      <w:r>
        <w:rPr>
          <w:bCs/>
          <w:color w:val="000000" w:themeColor="text1"/>
          <w:sz w:val="24"/>
          <w:lang w:eastAsia="zh-CN"/>
          <w14:textFill>
            <w14:solidFill>
              <w14:schemeClr w14:val="tx1"/>
            </w14:solidFill>
          </w14:textFill>
        </w:rPr>
        <w:t>招募说明书</w:t>
      </w:r>
      <w:r>
        <w:rPr>
          <w:rFonts w:hint="eastAsia"/>
          <w:bCs/>
          <w:color w:val="000000" w:themeColor="text1"/>
          <w:sz w:val="24"/>
          <w:lang w:eastAsia="zh-CN"/>
          <w14:textFill>
            <w14:solidFill>
              <w14:schemeClr w14:val="tx1"/>
            </w14:solidFill>
          </w14:textFill>
        </w:rPr>
        <w:t>其他信息发生变更的，</w:t>
      </w:r>
      <w:r>
        <w:rPr>
          <w:bCs/>
          <w:color w:val="000000" w:themeColor="text1"/>
          <w:sz w:val="24"/>
          <w:lang w:eastAsia="zh-CN"/>
          <w14:textFill>
            <w14:solidFill>
              <w14:schemeClr w14:val="tx1"/>
            </w14:solidFill>
          </w14:textFill>
        </w:rPr>
        <w:t>基金管理人</w:t>
      </w:r>
      <w:r>
        <w:rPr>
          <w:rFonts w:hint="eastAsia"/>
          <w:bCs/>
          <w:color w:val="000000" w:themeColor="text1"/>
          <w:sz w:val="24"/>
          <w:lang w:eastAsia="zh-CN"/>
          <w14:textFill>
            <w14:solidFill>
              <w14:schemeClr w14:val="tx1"/>
            </w14:solidFill>
          </w14:textFill>
        </w:rPr>
        <w:t>至少每年更新一次。基金终止运作的，基金管理人不再</w:t>
      </w:r>
      <w:r>
        <w:rPr>
          <w:bCs/>
          <w:color w:val="000000" w:themeColor="text1"/>
          <w:sz w:val="24"/>
          <w:lang w:eastAsia="zh-CN"/>
          <w14:textFill>
            <w14:solidFill>
              <w14:schemeClr w14:val="tx1"/>
            </w14:solidFill>
          </w14:textFill>
        </w:rPr>
        <w:t>更新基金招募说明书。</w:t>
      </w:r>
    </w:p>
    <w:p w14:paraId="34AB5A4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3、基金托管协议是界定基金托管人和基金管理人在基金财产保管及基金运作监督等活动中的权利、义务关系的法律文件。</w:t>
      </w:r>
    </w:p>
    <w:p w14:paraId="2E771CB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6C22DAE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基金募集申请经中国证监会</w:t>
      </w:r>
      <w:r>
        <w:rPr>
          <w:rFonts w:hint="eastAsia"/>
          <w:bCs/>
          <w:color w:val="000000" w:themeColor="text1"/>
          <w:sz w:val="24"/>
          <w:lang w:eastAsia="zh-CN"/>
          <w14:textFill>
            <w14:solidFill>
              <w14:schemeClr w14:val="tx1"/>
            </w14:solidFill>
          </w14:textFill>
        </w:rPr>
        <w:t>注册</w:t>
      </w:r>
      <w:r>
        <w:rPr>
          <w:bCs/>
          <w:color w:val="000000" w:themeColor="text1"/>
          <w:sz w:val="24"/>
          <w:lang w:eastAsia="zh-CN"/>
          <w14:textFill>
            <w14:solidFill>
              <w14:schemeClr w14:val="tx1"/>
            </w14:solidFill>
          </w14:textFill>
        </w:rPr>
        <w:t>后，基金管理人应当在基金份额发售的3日前，将</w:t>
      </w:r>
      <w:r>
        <w:rPr>
          <w:rFonts w:hint="eastAsia"/>
          <w:bCs/>
          <w:color w:val="000000" w:themeColor="text1"/>
          <w:sz w:val="24"/>
          <w:lang w:eastAsia="zh-CN"/>
          <w14:textFill>
            <w14:solidFill>
              <w14:schemeClr w14:val="tx1"/>
            </w14:solidFill>
          </w14:textFill>
        </w:rPr>
        <w:t>基金份额发售公告、</w:t>
      </w:r>
      <w:r>
        <w:rPr>
          <w:bCs/>
          <w:color w:val="000000" w:themeColor="text1"/>
          <w:sz w:val="24"/>
          <w:lang w:eastAsia="zh-CN"/>
          <w14:textFill>
            <w14:solidFill>
              <w14:schemeClr w14:val="tx1"/>
            </w14:solidFill>
          </w14:textFill>
        </w:rPr>
        <w:t>基金招募说明书</w:t>
      </w:r>
      <w:r>
        <w:rPr>
          <w:rFonts w:hint="eastAsia"/>
          <w:bCs/>
          <w:color w:val="000000" w:themeColor="text1"/>
          <w:sz w:val="24"/>
          <w:lang w:eastAsia="zh-CN"/>
          <w14:textFill>
            <w14:solidFill>
              <w14:schemeClr w14:val="tx1"/>
            </w14:solidFill>
          </w14:textFill>
        </w:rPr>
        <w:t>提示性公告</w:t>
      </w:r>
      <w:r>
        <w:rPr>
          <w:bCs/>
          <w:color w:val="000000" w:themeColor="text1"/>
          <w:sz w:val="24"/>
          <w:lang w:eastAsia="zh-CN"/>
          <w14:textFill>
            <w14:solidFill>
              <w14:schemeClr w14:val="tx1"/>
            </w14:solidFill>
          </w14:textFill>
        </w:rPr>
        <w:t>、《基金合同》</w:t>
      </w:r>
      <w:r>
        <w:rPr>
          <w:rFonts w:hint="eastAsia"/>
          <w:bCs/>
          <w:color w:val="000000" w:themeColor="text1"/>
          <w:sz w:val="24"/>
          <w:lang w:eastAsia="zh-CN"/>
          <w14:textFill>
            <w14:solidFill>
              <w14:schemeClr w14:val="tx1"/>
            </w14:solidFill>
          </w14:textFill>
        </w:rPr>
        <w:t>提示性公告</w:t>
      </w:r>
      <w:r>
        <w:rPr>
          <w:bCs/>
          <w:color w:val="000000" w:themeColor="text1"/>
          <w:sz w:val="24"/>
          <w:lang w:eastAsia="zh-CN"/>
          <w14:textFill>
            <w14:solidFill>
              <w14:schemeClr w14:val="tx1"/>
            </w14:solidFill>
          </w14:textFill>
        </w:rPr>
        <w:t>登载在</w:t>
      </w:r>
      <w:r>
        <w:rPr>
          <w:rFonts w:hint="eastAsia"/>
          <w:bCs/>
          <w:color w:val="000000" w:themeColor="text1"/>
          <w:sz w:val="24"/>
          <w:lang w:eastAsia="zh-CN"/>
          <w14:textFill>
            <w14:solidFill>
              <w14:schemeClr w14:val="tx1"/>
            </w14:solidFill>
          </w14:textFill>
        </w:rPr>
        <w:t>规定报刊</w:t>
      </w:r>
      <w:r>
        <w:rPr>
          <w:bCs/>
          <w:color w:val="000000" w:themeColor="text1"/>
          <w:sz w:val="24"/>
          <w:lang w:eastAsia="zh-CN"/>
          <w14:textFill>
            <w14:solidFill>
              <w14:schemeClr w14:val="tx1"/>
            </w14:solidFill>
          </w14:textFill>
        </w:rPr>
        <w:t>上</w:t>
      </w:r>
      <w:r>
        <w:rPr>
          <w:rFonts w:hint="eastAsia"/>
          <w:bCs/>
          <w:color w:val="000000" w:themeColor="text1"/>
          <w:sz w:val="24"/>
          <w:lang w:eastAsia="zh-CN"/>
          <w14:textFill>
            <w14:solidFill>
              <w14:schemeClr w14:val="tx1"/>
            </w14:solidFill>
          </w14:textFill>
        </w:rPr>
        <w:t>，将基金份额发售公告、基金招募说明书、基金产品资料概要、《基金合同》和基金托管协议登载在规定网站上，并将基金产品资料概要登载在基金销售机构网站或营业网点</w:t>
      </w:r>
      <w:r>
        <w:rPr>
          <w:bCs/>
          <w:color w:val="000000" w:themeColor="text1"/>
          <w:sz w:val="24"/>
          <w:lang w:eastAsia="zh-CN"/>
          <w14:textFill>
            <w14:solidFill>
              <w14:schemeClr w14:val="tx1"/>
            </w14:solidFill>
          </w14:textFill>
        </w:rPr>
        <w:t>；基金托管人应当同时将《基金合同》、基金托管协议登载在规定网站上。</w:t>
      </w:r>
    </w:p>
    <w:p w14:paraId="39A64AB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（二）基金份额发售公告</w:t>
      </w:r>
    </w:p>
    <w:p w14:paraId="148BE463">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40439ECE">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（三）《基金合同》生效公告</w:t>
      </w:r>
    </w:p>
    <w:p w14:paraId="32431EA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基金管理人应当在收到中国证监会确认文件的次日在</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上登载《基金合同》生效公告。</w:t>
      </w:r>
    </w:p>
    <w:p w14:paraId="0AD9F39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（四）基金净值</w:t>
      </w:r>
      <w:r>
        <w:rPr>
          <w:rFonts w:hint="eastAsia"/>
          <w:bCs/>
          <w:color w:val="000000" w:themeColor="text1"/>
          <w:sz w:val="24"/>
          <w:lang w:eastAsia="zh-CN"/>
          <w14:textFill>
            <w14:solidFill>
              <w14:schemeClr w14:val="tx1"/>
            </w14:solidFill>
          </w14:textFill>
        </w:rPr>
        <w:t>信息</w:t>
      </w:r>
    </w:p>
    <w:p w14:paraId="3C89D42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《基金合同》生效后，在</w:t>
      </w:r>
      <w:r>
        <w:rPr>
          <w:rFonts w:hint="eastAsia"/>
          <w:bCs/>
          <w:color w:val="000000" w:themeColor="text1"/>
          <w:sz w:val="24"/>
          <w:lang w:eastAsia="zh-CN"/>
          <w14:textFill>
            <w14:solidFill>
              <w14:schemeClr w14:val="tx1"/>
            </w14:solidFill>
          </w14:textFill>
        </w:rPr>
        <w:t>本</w:t>
      </w:r>
      <w:r>
        <w:rPr>
          <w:bCs/>
          <w:color w:val="000000" w:themeColor="text1"/>
          <w:sz w:val="24"/>
          <w:lang w:eastAsia="zh-CN"/>
          <w14:textFill>
            <w14:solidFill>
              <w14:schemeClr w14:val="tx1"/>
            </w14:solidFill>
          </w14:textFill>
        </w:rPr>
        <w:t>基金</w:t>
      </w:r>
      <w:r>
        <w:rPr>
          <w:rFonts w:hint="eastAsia"/>
          <w:bCs/>
          <w:color w:val="000000" w:themeColor="text1"/>
          <w:sz w:val="24"/>
          <w:lang w:eastAsia="zh-CN"/>
          <w14:textFill>
            <w14:solidFill>
              <w14:schemeClr w14:val="tx1"/>
            </w14:solidFill>
          </w14:textFill>
        </w:rPr>
        <w:t>封闭期内，</w:t>
      </w:r>
      <w:r>
        <w:rPr>
          <w:bCs/>
          <w:color w:val="000000" w:themeColor="text1"/>
          <w:sz w:val="24"/>
          <w:lang w:eastAsia="zh-CN"/>
          <w14:textFill>
            <w14:solidFill>
              <w14:schemeClr w14:val="tx1"/>
            </w14:solidFill>
          </w14:textFill>
        </w:rPr>
        <w:t>份额申购或者赎回前，基金管理人应当至少每周在规定网站披露一次基金</w:t>
      </w:r>
      <w:r>
        <w:rPr>
          <w:rFonts w:hint="eastAsia"/>
          <w:bCs/>
          <w:color w:val="000000" w:themeColor="text1"/>
          <w:sz w:val="24"/>
          <w:lang w:eastAsia="zh-CN"/>
          <w14:textFill>
            <w14:solidFill>
              <w14:schemeClr w14:val="tx1"/>
            </w14:solidFill>
          </w14:textFill>
        </w:rPr>
        <w:t>份额</w:t>
      </w:r>
      <w:r>
        <w:rPr>
          <w:bCs/>
          <w:color w:val="000000" w:themeColor="text1"/>
          <w:sz w:val="24"/>
          <w:lang w:eastAsia="zh-CN"/>
          <w14:textFill>
            <w14:solidFill>
              <w14:schemeClr w14:val="tx1"/>
            </w14:solidFill>
          </w14:textFill>
        </w:rPr>
        <w:t>净值和基金份额累计净值。</w:t>
      </w:r>
    </w:p>
    <w:p w14:paraId="47291BC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在</w:t>
      </w:r>
      <w:r>
        <w:rPr>
          <w:rFonts w:hint="eastAsia"/>
          <w:bCs/>
          <w:color w:val="000000" w:themeColor="text1"/>
          <w:sz w:val="24"/>
          <w:lang w:eastAsia="zh-CN"/>
          <w14:textFill>
            <w14:solidFill>
              <w14:schemeClr w14:val="tx1"/>
            </w14:solidFill>
          </w14:textFill>
        </w:rPr>
        <w:t>开放期内</w:t>
      </w:r>
      <w:r>
        <w:rPr>
          <w:bCs/>
          <w:color w:val="000000" w:themeColor="text1"/>
          <w:sz w:val="24"/>
          <w:lang w:eastAsia="zh-CN"/>
          <w14:textFill>
            <w14:solidFill>
              <w14:schemeClr w14:val="tx1"/>
            </w14:solidFill>
          </w14:textFill>
        </w:rPr>
        <w:t>，基金管理人应当在不晚于每个开放日的次日，通过规定网站、基金份额</w:t>
      </w:r>
      <w:r>
        <w:rPr>
          <w:rFonts w:hint="eastAsia"/>
          <w:bCs/>
          <w:color w:val="000000" w:themeColor="text1"/>
          <w:sz w:val="24"/>
          <w:lang w:eastAsia="zh-CN"/>
          <w14:textFill>
            <w14:solidFill>
              <w14:schemeClr w14:val="tx1"/>
            </w14:solidFill>
          </w14:textFill>
        </w:rPr>
        <w:t>销售机构网站或者营业</w:t>
      </w:r>
      <w:r>
        <w:rPr>
          <w:bCs/>
          <w:color w:val="000000" w:themeColor="text1"/>
          <w:sz w:val="24"/>
          <w:lang w:eastAsia="zh-CN"/>
          <w14:textFill>
            <w14:solidFill>
              <w14:schemeClr w14:val="tx1"/>
            </w14:solidFill>
          </w14:textFill>
        </w:rPr>
        <w:t>网点，披露开放日的基金份额净值和基金份额累计净值。</w:t>
      </w:r>
    </w:p>
    <w:p w14:paraId="054603B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基金管理人应当</w:t>
      </w:r>
      <w:r>
        <w:rPr>
          <w:rFonts w:hint="eastAsia"/>
          <w:bCs/>
          <w:color w:val="000000" w:themeColor="text1"/>
          <w:sz w:val="24"/>
          <w:lang w:eastAsia="zh-CN"/>
          <w14:textFill>
            <w14:solidFill>
              <w14:schemeClr w14:val="tx1"/>
            </w14:solidFill>
          </w14:textFill>
        </w:rPr>
        <w:t>在不晚于</w:t>
      </w:r>
      <w:r>
        <w:rPr>
          <w:bCs/>
          <w:color w:val="000000" w:themeColor="text1"/>
          <w:sz w:val="24"/>
          <w:lang w:eastAsia="zh-CN"/>
          <w14:textFill>
            <w14:solidFill>
              <w14:schemeClr w14:val="tx1"/>
            </w14:solidFill>
          </w14:textFill>
        </w:rPr>
        <w:t>半年度和年度最后一</w:t>
      </w:r>
      <w:r>
        <w:rPr>
          <w:rFonts w:hint="eastAsia"/>
          <w:bCs/>
          <w:color w:val="000000" w:themeColor="text1"/>
          <w:sz w:val="24"/>
          <w:lang w:eastAsia="zh-CN"/>
          <w14:textFill>
            <w14:solidFill>
              <w14:schemeClr w14:val="tx1"/>
            </w14:solidFill>
          </w14:textFill>
        </w:rPr>
        <w:t>日的次日，在规定网站披露半年度和年度最后一日的</w:t>
      </w:r>
      <w:r>
        <w:rPr>
          <w:bCs/>
          <w:color w:val="000000" w:themeColor="text1"/>
          <w:sz w:val="24"/>
          <w:lang w:eastAsia="zh-CN"/>
          <w14:textFill>
            <w14:solidFill>
              <w14:schemeClr w14:val="tx1"/>
            </w14:solidFill>
          </w14:textFill>
        </w:rPr>
        <w:t>基金份额净值和基金份额累计净值。</w:t>
      </w:r>
    </w:p>
    <w:p w14:paraId="36ECDD8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（五）基金份额申购、赎回价格</w:t>
      </w:r>
    </w:p>
    <w:p w14:paraId="0C19FB5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基金管理人应当在《基金合同》、招募说明书等信息披露文件上载明基金份额申购、赎回价格的计算方式及有关申购、赎回费率，并保证投资者能够在基金</w:t>
      </w:r>
      <w:r>
        <w:rPr>
          <w:rFonts w:hint="eastAsia"/>
          <w:bCs/>
          <w:color w:val="000000" w:themeColor="text1"/>
          <w:sz w:val="24"/>
          <w:lang w:eastAsia="zh-CN"/>
          <w14:textFill>
            <w14:solidFill>
              <w14:schemeClr w14:val="tx1"/>
            </w14:solidFill>
          </w14:textFill>
        </w:rPr>
        <w:t>销售机构网站或营业</w:t>
      </w:r>
      <w:r>
        <w:rPr>
          <w:bCs/>
          <w:color w:val="000000" w:themeColor="text1"/>
          <w:sz w:val="24"/>
          <w:lang w:eastAsia="zh-CN"/>
          <w14:textFill>
            <w14:solidFill>
              <w14:schemeClr w14:val="tx1"/>
            </w14:solidFill>
          </w14:textFill>
        </w:rPr>
        <w:t>网点查阅或者复制前述信息资料。</w:t>
      </w:r>
    </w:p>
    <w:p w14:paraId="34617BB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（六）基金定期报告，包括基金年度报告、基金</w:t>
      </w:r>
      <w:r>
        <w:rPr>
          <w:rFonts w:hint="eastAsia"/>
          <w:bCs/>
          <w:color w:val="000000" w:themeColor="text1"/>
          <w:sz w:val="24"/>
          <w:lang w:eastAsia="zh-CN"/>
          <w14:textFill>
            <w14:solidFill>
              <w14:schemeClr w14:val="tx1"/>
            </w14:solidFill>
          </w14:textFill>
        </w:rPr>
        <w:t>中期</w:t>
      </w:r>
      <w:r>
        <w:rPr>
          <w:bCs/>
          <w:color w:val="000000" w:themeColor="text1"/>
          <w:sz w:val="24"/>
          <w:lang w:eastAsia="zh-CN"/>
          <w14:textFill>
            <w14:solidFill>
              <w14:schemeClr w14:val="tx1"/>
            </w14:solidFill>
          </w14:textFill>
        </w:rPr>
        <w:t>报告和基金季度报告</w:t>
      </w:r>
    </w:p>
    <w:p w14:paraId="1358A32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基金管理人应当在每年结束之日起</w:t>
      </w:r>
      <w:r>
        <w:rPr>
          <w:rFonts w:hint="eastAsia"/>
          <w:bCs/>
          <w:color w:val="000000" w:themeColor="text1"/>
          <w:sz w:val="24"/>
          <w:lang w:eastAsia="zh-CN"/>
          <w14:textFill>
            <w14:solidFill>
              <w14:schemeClr w14:val="tx1"/>
            </w14:solidFill>
          </w14:textFill>
        </w:rPr>
        <w:t>三个月</w:t>
      </w:r>
      <w:r>
        <w:rPr>
          <w:bCs/>
          <w:color w:val="000000" w:themeColor="text1"/>
          <w:sz w:val="24"/>
          <w:lang w:eastAsia="zh-CN"/>
          <w14:textFill>
            <w14:solidFill>
              <w14:schemeClr w14:val="tx1"/>
            </w14:solidFill>
          </w14:textFill>
        </w:rPr>
        <w:t>内，编制完成基金年度报告，将年度报告登载</w:t>
      </w:r>
      <w:r>
        <w:rPr>
          <w:rFonts w:hint="eastAsia"/>
          <w:bCs/>
          <w:color w:val="000000" w:themeColor="text1"/>
          <w:sz w:val="24"/>
          <w:lang w:eastAsia="zh-CN"/>
          <w14:textFill>
            <w14:solidFill>
              <w14:schemeClr w14:val="tx1"/>
            </w14:solidFill>
          </w14:textFill>
        </w:rPr>
        <w:t>在</w:t>
      </w:r>
      <w:r>
        <w:rPr>
          <w:bCs/>
          <w:color w:val="000000" w:themeColor="text1"/>
          <w:sz w:val="24"/>
          <w:lang w:eastAsia="zh-CN"/>
          <w14:textFill>
            <w14:solidFill>
              <w14:schemeClr w14:val="tx1"/>
            </w14:solidFill>
          </w14:textFill>
        </w:rPr>
        <w:t>规定网站上，并将年度报告</w:t>
      </w:r>
      <w:r>
        <w:rPr>
          <w:rFonts w:hint="eastAsia"/>
          <w:bCs/>
          <w:color w:val="000000" w:themeColor="text1"/>
          <w:sz w:val="24"/>
          <w:lang w:eastAsia="zh-CN"/>
          <w14:textFill>
            <w14:solidFill>
              <w14:schemeClr w14:val="tx1"/>
            </w14:solidFill>
          </w14:textFill>
        </w:rPr>
        <w:t>提示性公告</w:t>
      </w:r>
      <w:r>
        <w:rPr>
          <w:bCs/>
          <w:color w:val="000000" w:themeColor="text1"/>
          <w:sz w:val="24"/>
          <w:lang w:eastAsia="zh-CN"/>
          <w14:textFill>
            <w14:solidFill>
              <w14:schemeClr w14:val="tx1"/>
            </w14:solidFill>
          </w14:textFill>
        </w:rPr>
        <w:t>登载在</w:t>
      </w:r>
      <w:r>
        <w:rPr>
          <w:rFonts w:hint="eastAsia"/>
          <w:bCs/>
          <w:color w:val="000000" w:themeColor="text1"/>
          <w:sz w:val="24"/>
          <w:lang w:eastAsia="zh-CN"/>
          <w14:textFill>
            <w14:solidFill>
              <w14:schemeClr w14:val="tx1"/>
            </w14:solidFill>
          </w14:textFill>
        </w:rPr>
        <w:t>规定报刊</w:t>
      </w:r>
      <w:r>
        <w:rPr>
          <w:bCs/>
          <w:color w:val="000000" w:themeColor="text1"/>
          <w:sz w:val="24"/>
          <w:lang w:eastAsia="zh-CN"/>
          <w14:textFill>
            <w14:solidFill>
              <w14:schemeClr w14:val="tx1"/>
            </w14:solidFill>
          </w14:textFill>
        </w:rPr>
        <w:t>上。基金年度报告中的财务会计报告应当经过</w:t>
      </w:r>
      <w:r>
        <w:rPr>
          <w:rFonts w:hint="eastAsia"/>
          <w:bCs/>
          <w:color w:val="000000" w:themeColor="text1"/>
          <w:sz w:val="24"/>
          <w:lang w:eastAsia="zh-CN"/>
          <w14:textFill>
            <w14:solidFill>
              <w14:schemeClr w14:val="tx1"/>
            </w14:solidFill>
          </w14:textFill>
        </w:rPr>
        <w:t>符合《中华人民共和国证券法》规定的会计师事务所</w:t>
      </w:r>
      <w:r>
        <w:rPr>
          <w:bCs/>
          <w:color w:val="000000" w:themeColor="text1"/>
          <w:sz w:val="24"/>
          <w:lang w:eastAsia="zh-CN"/>
          <w14:textFill>
            <w14:solidFill>
              <w14:schemeClr w14:val="tx1"/>
            </w14:solidFill>
          </w14:textFill>
        </w:rPr>
        <w:t>审计。</w:t>
      </w:r>
    </w:p>
    <w:p w14:paraId="2B91E70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基金管理人应当在上半年结束之日起</w:t>
      </w:r>
      <w:r>
        <w:rPr>
          <w:rFonts w:hint="eastAsia"/>
          <w:bCs/>
          <w:color w:val="000000" w:themeColor="text1"/>
          <w:sz w:val="24"/>
          <w:lang w:eastAsia="zh-CN"/>
          <w14:textFill>
            <w14:solidFill>
              <w14:schemeClr w14:val="tx1"/>
            </w14:solidFill>
          </w14:textFill>
        </w:rPr>
        <w:t>两个月</w:t>
      </w:r>
      <w:r>
        <w:rPr>
          <w:bCs/>
          <w:color w:val="000000" w:themeColor="text1"/>
          <w:sz w:val="24"/>
          <w:lang w:eastAsia="zh-CN"/>
          <w14:textFill>
            <w14:solidFill>
              <w14:schemeClr w14:val="tx1"/>
            </w14:solidFill>
          </w14:textFill>
        </w:rPr>
        <w:t>内，编制完成基金</w:t>
      </w:r>
      <w:r>
        <w:rPr>
          <w:rFonts w:hint="eastAsia"/>
          <w:bCs/>
          <w:color w:val="000000" w:themeColor="text1"/>
          <w:sz w:val="24"/>
          <w:lang w:eastAsia="zh-CN"/>
          <w14:textFill>
            <w14:solidFill>
              <w14:schemeClr w14:val="tx1"/>
            </w14:solidFill>
          </w14:textFill>
        </w:rPr>
        <w:t>中期</w:t>
      </w:r>
      <w:r>
        <w:rPr>
          <w:bCs/>
          <w:color w:val="000000" w:themeColor="text1"/>
          <w:sz w:val="24"/>
          <w:lang w:eastAsia="zh-CN"/>
          <w14:textFill>
            <w14:solidFill>
              <w14:schemeClr w14:val="tx1"/>
            </w14:solidFill>
          </w14:textFill>
        </w:rPr>
        <w:t>报告，并将</w:t>
      </w:r>
      <w:r>
        <w:rPr>
          <w:rFonts w:hint="eastAsia"/>
          <w:bCs/>
          <w:color w:val="000000" w:themeColor="text1"/>
          <w:sz w:val="24"/>
          <w:lang w:eastAsia="zh-CN"/>
          <w14:textFill>
            <w14:solidFill>
              <w14:schemeClr w14:val="tx1"/>
            </w14:solidFill>
          </w14:textFill>
        </w:rPr>
        <w:t>中期</w:t>
      </w:r>
      <w:r>
        <w:rPr>
          <w:bCs/>
          <w:color w:val="000000" w:themeColor="text1"/>
          <w:sz w:val="24"/>
          <w:lang w:eastAsia="zh-CN"/>
          <w14:textFill>
            <w14:solidFill>
              <w14:schemeClr w14:val="tx1"/>
            </w14:solidFill>
          </w14:textFill>
        </w:rPr>
        <w:t>报告正文登载在规定网站上，并将</w:t>
      </w:r>
      <w:r>
        <w:rPr>
          <w:rFonts w:hint="eastAsia"/>
          <w:bCs/>
          <w:color w:val="000000" w:themeColor="text1"/>
          <w:sz w:val="24"/>
          <w:lang w:eastAsia="zh-CN"/>
          <w14:textFill>
            <w14:solidFill>
              <w14:schemeClr w14:val="tx1"/>
            </w14:solidFill>
          </w14:textFill>
        </w:rPr>
        <w:t>中期</w:t>
      </w:r>
      <w:r>
        <w:rPr>
          <w:bCs/>
          <w:color w:val="000000" w:themeColor="text1"/>
          <w:sz w:val="24"/>
          <w:lang w:eastAsia="zh-CN"/>
          <w14:textFill>
            <w14:solidFill>
              <w14:schemeClr w14:val="tx1"/>
            </w14:solidFill>
          </w14:textFill>
        </w:rPr>
        <w:t>报告</w:t>
      </w:r>
      <w:r>
        <w:rPr>
          <w:rFonts w:hint="eastAsia"/>
          <w:bCs/>
          <w:color w:val="000000" w:themeColor="text1"/>
          <w:sz w:val="24"/>
          <w:lang w:eastAsia="zh-CN"/>
          <w14:textFill>
            <w14:solidFill>
              <w14:schemeClr w14:val="tx1"/>
            </w14:solidFill>
          </w14:textFill>
        </w:rPr>
        <w:t>提示性公告</w:t>
      </w:r>
      <w:r>
        <w:rPr>
          <w:bCs/>
          <w:color w:val="000000" w:themeColor="text1"/>
          <w:sz w:val="24"/>
          <w:lang w:eastAsia="zh-CN"/>
          <w14:textFill>
            <w14:solidFill>
              <w14:schemeClr w14:val="tx1"/>
            </w14:solidFill>
          </w14:textFill>
        </w:rPr>
        <w:t>登载在</w:t>
      </w:r>
      <w:r>
        <w:rPr>
          <w:rFonts w:hint="eastAsia"/>
          <w:bCs/>
          <w:color w:val="000000" w:themeColor="text1"/>
          <w:sz w:val="24"/>
          <w:lang w:eastAsia="zh-CN"/>
          <w14:textFill>
            <w14:solidFill>
              <w14:schemeClr w14:val="tx1"/>
            </w14:solidFill>
          </w14:textFill>
        </w:rPr>
        <w:t>规定报刊</w:t>
      </w:r>
      <w:r>
        <w:rPr>
          <w:bCs/>
          <w:color w:val="000000" w:themeColor="text1"/>
          <w:sz w:val="24"/>
          <w:lang w:eastAsia="zh-CN"/>
          <w14:textFill>
            <w14:solidFill>
              <w14:schemeClr w14:val="tx1"/>
            </w14:solidFill>
          </w14:textFill>
        </w:rPr>
        <w:t>上。</w:t>
      </w:r>
    </w:p>
    <w:p w14:paraId="07F7E73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基金管理人应当在每个季度结束之日起</w:t>
      </w:r>
      <w:r>
        <w:rPr>
          <w:rFonts w:hint="eastAsia"/>
          <w:bCs/>
          <w:color w:val="000000" w:themeColor="text1"/>
          <w:sz w:val="24"/>
          <w:lang w:eastAsia="zh-CN"/>
          <w14:textFill>
            <w14:solidFill>
              <w14:schemeClr w14:val="tx1"/>
            </w14:solidFill>
          </w14:textFill>
        </w:rPr>
        <w:t>十五</w:t>
      </w:r>
      <w:r>
        <w:rPr>
          <w:bCs/>
          <w:color w:val="000000" w:themeColor="text1"/>
          <w:sz w:val="24"/>
          <w:lang w:eastAsia="zh-CN"/>
          <w14:textFill>
            <w14:solidFill>
              <w14:schemeClr w14:val="tx1"/>
            </w14:solidFill>
          </w14:textFill>
        </w:rPr>
        <w:t>个工作日内，编制完成基金季度报告，并将季度报告登载在</w:t>
      </w:r>
      <w:r>
        <w:rPr>
          <w:rFonts w:hint="eastAsia"/>
          <w:bCs/>
          <w:color w:val="000000" w:themeColor="text1"/>
          <w:sz w:val="24"/>
          <w:lang w:eastAsia="zh-CN"/>
          <w14:textFill>
            <w14:solidFill>
              <w14:schemeClr w14:val="tx1"/>
            </w14:solidFill>
          </w14:textFill>
        </w:rPr>
        <w:t>规定网站</w:t>
      </w:r>
      <w:r>
        <w:rPr>
          <w:bCs/>
          <w:color w:val="000000" w:themeColor="text1"/>
          <w:sz w:val="24"/>
          <w:lang w:eastAsia="zh-CN"/>
          <w14:textFill>
            <w14:solidFill>
              <w14:schemeClr w14:val="tx1"/>
            </w14:solidFill>
          </w14:textFill>
        </w:rPr>
        <w:t>上</w:t>
      </w:r>
      <w:r>
        <w:rPr>
          <w:rFonts w:hint="eastAsia"/>
          <w:bCs/>
          <w:color w:val="000000" w:themeColor="text1"/>
          <w:sz w:val="24"/>
          <w:lang w:eastAsia="zh-CN"/>
          <w14:textFill>
            <w14:solidFill>
              <w14:schemeClr w14:val="tx1"/>
            </w14:solidFill>
          </w14:textFill>
        </w:rPr>
        <w:t>，并将季度报告提示性公告登载在规定报刊</w:t>
      </w:r>
      <w:r>
        <w:rPr>
          <w:bCs/>
          <w:color w:val="000000" w:themeColor="text1"/>
          <w:sz w:val="24"/>
          <w:lang w:eastAsia="zh-CN"/>
          <w14:textFill>
            <w14:solidFill>
              <w14:schemeClr w14:val="tx1"/>
            </w14:solidFill>
          </w14:textFill>
        </w:rPr>
        <w:t>上。</w:t>
      </w:r>
    </w:p>
    <w:p w14:paraId="2D38FB0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《基金合同》生效不足</w:t>
      </w:r>
      <w:r>
        <w:rPr>
          <w:rFonts w:hint="eastAsia"/>
          <w:bCs/>
          <w:color w:val="000000" w:themeColor="text1"/>
          <w:sz w:val="24"/>
          <w:lang w:eastAsia="zh-CN"/>
          <w14:textFill>
            <w14:solidFill>
              <w14:schemeClr w14:val="tx1"/>
            </w14:solidFill>
          </w14:textFill>
        </w:rPr>
        <w:t>两</w:t>
      </w:r>
      <w:r>
        <w:rPr>
          <w:bCs/>
          <w:color w:val="000000" w:themeColor="text1"/>
          <w:sz w:val="24"/>
          <w:lang w:eastAsia="zh-CN"/>
          <w14:textFill>
            <w14:solidFill>
              <w14:schemeClr w14:val="tx1"/>
            </w14:solidFill>
          </w14:textFill>
        </w:rPr>
        <w:t>个月的，基金管理人可以不编制当期季度报告、</w:t>
      </w:r>
      <w:r>
        <w:rPr>
          <w:rFonts w:hint="eastAsia"/>
          <w:bCs/>
          <w:color w:val="000000" w:themeColor="text1"/>
          <w:sz w:val="24"/>
          <w:lang w:eastAsia="zh-CN"/>
          <w14:textFill>
            <w14:solidFill>
              <w14:schemeClr w14:val="tx1"/>
            </w14:solidFill>
          </w14:textFill>
        </w:rPr>
        <w:t>中期</w:t>
      </w:r>
      <w:r>
        <w:rPr>
          <w:bCs/>
          <w:color w:val="000000" w:themeColor="text1"/>
          <w:sz w:val="24"/>
          <w:lang w:eastAsia="zh-CN"/>
          <w14:textFill>
            <w14:solidFill>
              <w14:schemeClr w14:val="tx1"/>
            </w14:solidFill>
          </w14:textFill>
        </w:rPr>
        <w:t>报告或者年度报告。</w:t>
      </w:r>
    </w:p>
    <w:p w14:paraId="4444EC0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2384A293">
      <w:pPr>
        <w:spacing w:line="360" w:lineRule="auto"/>
        <w:ind w:firstLine="480" w:firstLineChars="200"/>
        <w:rPr>
          <w:bCs/>
          <w:color w:val="000000" w:themeColor="text1"/>
          <w:lang w:eastAsia="zh-CN"/>
          <w14:textFill>
            <w14:solidFill>
              <w14:schemeClr w14:val="tx1"/>
            </w14:solidFill>
          </w14:textFill>
        </w:rPr>
      </w:pPr>
      <w:r>
        <w:rPr>
          <w:bCs/>
          <w:color w:val="000000" w:themeColor="text1"/>
          <w:sz w:val="24"/>
          <w:lang w:eastAsia="zh-CN"/>
          <w14:textFill>
            <w14:solidFill>
              <w14:schemeClr w14:val="tx1"/>
            </w14:solidFill>
          </w14:textFill>
        </w:rPr>
        <w:t>基金管理人应当在基金年度报告和</w:t>
      </w:r>
      <w:r>
        <w:rPr>
          <w:rFonts w:hint="eastAsia"/>
          <w:bCs/>
          <w:color w:val="000000" w:themeColor="text1"/>
          <w:sz w:val="24"/>
          <w:lang w:eastAsia="zh-CN"/>
          <w14:textFill>
            <w14:solidFill>
              <w14:schemeClr w14:val="tx1"/>
            </w14:solidFill>
          </w14:textFill>
        </w:rPr>
        <w:t>中期</w:t>
      </w:r>
      <w:r>
        <w:rPr>
          <w:bCs/>
          <w:color w:val="000000" w:themeColor="text1"/>
          <w:sz w:val="24"/>
          <w:lang w:eastAsia="zh-CN"/>
          <w14:textFill>
            <w14:solidFill>
              <w14:schemeClr w14:val="tx1"/>
            </w14:solidFill>
          </w14:textFill>
        </w:rPr>
        <w:t>报告中披露基金组合资产情况及其流动性风险分析等。</w:t>
      </w:r>
    </w:p>
    <w:p w14:paraId="26ED139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（七）临时报告</w:t>
      </w:r>
    </w:p>
    <w:p w14:paraId="1536500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本基金发生重大事件，有关信息披露义务人应当在2日内编制临时报告书，并</w:t>
      </w:r>
      <w:r>
        <w:rPr>
          <w:rFonts w:hint="eastAsia"/>
          <w:bCs/>
          <w:color w:val="000000" w:themeColor="text1"/>
          <w:sz w:val="24"/>
          <w:lang w:eastAsia="zh-CN"/>
          <w14:textFill>
            <w14:solidFill>
              <w14:schemeClr w14:val="tx1"/>
            </w14:solidFill>
          </w14:textFill>
        </w:rPr>
        <w:t>登载</w:t>
      </w:r>
      <w:r>
        <w:rPr>
          <w:bCs/>
          <w:color w:val="000000" w:themeColor="text1"/>
          <w:sz w:val="24"/>
          <w:lang w:eastAsia="zh-CN"/>
          <w14:textFill>
            <w14:solidFill>
              <w14:schemeClr w14:val="tx1"/>
            </w14:solidFill>
          </w14:textFill>
        </w:rPr>
        <w:t>在</w:t>
      </w:r>
      <w:r>
        <w:rPr>
          <w:rFonts w:hint="eastAsia"/>
          <w:bCs/>
          <w:color w:val="000000" w:themeColor="text1"/>
          <w:sz w:val="24"/>
          <w:lang w:eastAsia="zh-CN"/>
          <w14:textFill>
            <w14:solidFill>
              <w14:schemeClr w14:val="tx1"/>
            </w14:solidFill>
          </w14:textFill>
        </w:rPr>
        <w:t>规定报刊</w:t>
      </w:r>
      <w:r>
        <w:rPr>
          <w:bCs/>
          <w:color w:val="000000" w:themeColor="text1"/>
          <w:sz w:val="24"/>
          <w:lang w:eastAsia="zh-CN"/>
          <w14:textFill>
            <w14:solidFill>
              <w14:schemeClr w14:val="tx1"/>
            </w14:solidFill>
          </w14:textFill>
        </w:rPr>
        <w:t>和</w:t>
      </w:r>
      <w:r>
        <w:rPr>
          <w:rFonts w:hint="eastAsia"/>
          <w:bCs/>
          <w:color w:val="000000" w:themeColor="text1"/>
          <w:sz w:val="24"/>
          <w:lang w:eastAsia="zh-CN"/>
          <w14:textFill>
            <w14:solidFill>
              <w14:schemeClr w14:val="tx1"/>
            </w14:solidFill>
          </w14:textFill>
        </w:rPr>
        <w:t>规定网站上</w:t>
      </w:r>
      <w:r>
        <w:rPr>
          <w:bCs/>
          <w:color w:val="000000" w:themeColor="text1"/>
          <w:sz w:val="24"/>
          <w:lang w:eastAsia="zh-CN"/>
          <w14:textFill>
            <w14:solidFill>
              <w14:schemeClr w14:val="tx1"/>
            </w14:solidFill>
          </w14:textFill>
        </w:rPr>
        <w:t>。</w:t>
      </w:r>
    </w:p>
    <w:p w14:paraId="7D52856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前款所称重大事件，是指可能对基金份额持有人权益或者基金份额的价格产生重大影响的下列事件：</w:t>
      </w:r>
    </w:p>
    <w:p w14:paraId="6E1205C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1、基金份额持有人大会的召开</w:t>
      </w:r>
      <w:r>
        <w:rPr>
          <w:rFonts w:hint="eastAsia"/>
          <w:bCs/>
          <w:color w:val="000000" w:themeColor="text1"/>
          <w:sz w:val="24"/>
          <w:lang w:eastAsia="zh-CN"/>
          <w14:textFill>
            <w14:solidFill>
              <w14:schemeClr w14:val="tx1"/>
            </w14:solidFill>
          </w14:textFill>
        </w:rPr>
        <w:t>及决定的事项</w:t>
      </w:r>
      <w:r>
        <w:rPr>
          <w:bCs/>
          <w:color w:val="000000" w:themeColor="text1"/>
          <w:sz w:val="24"/>
          <w:lang w:eastAsia="zh-CN"/>
          <w14:textFill>
            <w14:solidFill>
              <w14:schemeClr w14:val="tx1"/>
            </w14:solidFill>
          </w14:textFill>
        </w:rPr>
        <w:t>；</w:t>
      </w:r>
    </w:p>
    <w:p w14:paraId="303F919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2、终止《基金合同》</w:t>
      </w:r>
      <w:r>
        <w:rPr>
          <w:rFonts w:hint="eastAsia"/>
          <w:bCs/>
          <w:color w:val="000000" w:themeColor="text1"/>
          <w:sz w:val="24"/>
          <w:lang w:eastAsia="zh-CN"/>
          <w14:textFill>
            <w14:solidFill>
              <w14:schemeClr w14:val="tx1"/>
            </w14:solidFill>
          </w14:textFill>
        </w:rPr>
        <w:t>、基金清算</w:t>
      </w:r>
      <w:r>
        <w:rPr>
          <w:bCs/>
          <w:color w:val="000000" w:themeColor="text1"/>
          <w:sz w:val="24"/>
          <w:lang w:eastAsia="zh-CN"/>
          <w14:textFill>
            <w14:solidFill>
              <w14:schemeClr w14:val="tx1"/>
            </w14:solidFill>
          </w14:textFill>
        </w:rPr>
        <w:t>；</w:t>
      </w:r>
    </w:p>
    <w:p w14:paraId="04F731C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3、转换基金运作方式</w:t>
      </w:r>
      <w:r>
        <w:rPr>
          <w:rFonts w:hint="eastAsia"/>
          <w:bCs/>
          <w:color w:val="000000" w:themeColor="text1"/>
          <w:sz w:val="24"/>
          <w:lang w:eastAsia="zh-CN"/>
          <w14:textFill>
            <w14:solidFill>
              <w14:schemeClr w14:val="tx1"/>
            </w14:solidFill>
          </w14:textFill>
        </w:rPr>
        <w:t>（不包括本基金开放期与封闭期运作方式的转换）、基金合并</w:t>
      </w:r>
      <w:r>
        <w:rPr>
          <w:bCs/>
          <w:color w:val="000000" w:themeColor="text1"/>
          <w:sz w:val="24"/>
          <w:lang w:eastAsia="zh-CN"/>
          <w14:textFill>
            <w14:solidFill>
              <w14:schemeClr w14:val="tx1"/>
            </w14:solidFill>
          </w14:textFill>
        </w:rPr>
        <w:t>；</w:t>
      </w:r>
    </w:p>
    <w:p w14:paraId="5ACFB11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4、更换基金管理人、基金托管人</w:t>
      </w:r>
      <w:r>
        <w:rPr>
          <w:rFonts w:hint="eastAsia"/>
          <w:bCs/>
          <w:color w:val="000000" w:themeColor="text1"/>
          <w:sz w:val="24"/>
          <w:lang w:eastAsia="zh-CN"/>
          <w14:textFill>
            <w14:solidFill>
              <w14:schemeClr w14:val="tx1"/>
            </w14:solidFill>
          </w14:textFill>
        </w:rPr>
        <w:t>、基金份额登记机构，基金改聘会计师事务所</w:t>
      </w:r>
      <w:r>
        <w:rPr>
          <w:bCs/>
          <w:color w:val="000000" w:themeColor="text1"/>
          <w:sz w:val="24"/>
          <w:lang w:eastAsia="zh-CN"/>
          <w14:textFill>
            <w14:solidFill>
              <w14:schemeClr w14:val="tx1"/>
            </w14:solidFill>
          </w14:textFill>
        </w:rPr>
        <w:t>；</w:t>
      </w:r>
    </w:p>
    <w:p w14:paraId="561CE1D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5、基金管理人</w:t>
      </w:r>
      <w:r>
        <w:rPr>
          <w:rFonts w:hint="eastAsia"/>
          <w:bCs/>
          <w:color w:val="000000" w:themeColor="text1"/>
          <w:sz w:val="24"/>
          <w:lang w:eastAsia="zh-CN"/>
          <w14:textFill>
            <w14:solidFill>
              <w14:schemeClr w14:val="tx1"/>
            </w14:solidFill>
          </w14:textFill>
        </w:rPr>
        <w:t>委托基金服务机构代为办理基金的份额登记、核算、估值等事项，基金托管人委托基金服务机构代为办理基金的核算、估值、复核等事项；</w:t>
      </w:r>
    </w:p>
    <w:p w14:paraId="744C85C5">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6、</w:t>
      </w:r>
      <w:r>
        <w:rPr>
          <w:bCs/>
          <w:color w:val="000000" w:themeColor="text1"/>
          <w:sz w:val="24"/>
          <w:lang w:eastAsia="zh-CN"/>
          <w14:textFill>
            <w14:solidFill>
              <w14:schemeClr w14:val="tx1"/>
            </w14:solidFill>
          </w14:textFill>
        </w:rPr>
        <w:t>基金管理人、基金托管人的法定名称、住所发生变更；</w:t>
      </w:r>
    </w:p>
    <w:p w14:paraId="13FCA08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7、基金管理人</w:t>
      </w:r>
      <w:r>
        <w:rPr>
          <w:rFonts w:hint="eastAsia"/>
          <w:bCs/>
          <w:color w:val="000000" w:themeColor="text1"/>
          <w:sz w:val="24"/>
          <w:lang w:eastAsia="zh-CN"/>
          <w14:textFill>
            <w14:solidFill>
              <w14:schemeClr w14:val="tx1"/>
            </w14:solidFill>
          </w14:textFill>
        </w:rPr>
        <w:t>变更持有百分之五以上股权的</w:t>
      </w:r>
      <w:r>
        <w:rPr>
          <w:bCs/>
          <w:color w:val="000000" w:themeColor="text1"/>
          <w:sz w:val="24"/>
          <w:lang w:eastAsia="zh-CN"/>
          <w14:textFill>
            <w14:solidFill>
              <w14:schemeClr w14:val="tx1"/>
            </w14:solidFill>
          </w14:textFill>
        </w:rPr>
        <w:t>股东</w:t>
      </w:r>
      <w:r>
        <w:rPr>
          <w:rFonts w:hint="eastAsia"/>
          <w:bCs/>
          <w:color w:val="000000" w:themeColor="text1"/>
          <w:sz w:val="24"/>
          <w:lang w:eastAsia="zh-CN"/>
          <w14:textFill>
            <w14:solidFill>
              <w14:schemeClr w14:val="tx1"/>
            </w14:solidFill>
          </w14:textFill>
        </w:rPr>
        <w:t>、基金管理人的实际控制人</w:t>
      </w:r>
      <w:r>
        <w:rPr>
          <w:bCs/>
          <w:color w:val="000000" w:themeColor="text1"/>
          <w:sz w:val="24"/>
          <w:lang w:eastAsia="zh-CN"/>
          <w14:textFill>
            <w14:solidFill>
              <w14:schemeClr w14:val="tx1"/>
            </w14:solidFill>
          </w14:textFill>
        </w:rPr>
        <w:t>变更；</w:t>
      </w:r>
    </w:p>
    <w:p w14:paraId="1DA5A04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8、基金募集期延长</w:t>
      </w:r>
      <w:r>
        <w:rPr>
          <w:rFonts w:hint="eastAsia"/>
          <w:bCs/>
          <w:color w:val="000000" w:themeColor="text1"/>
          <w:sz w:val="24"/>
          <w:lang w:eastAsia="zh-CN"/>
          <w14:textFill>
            <w14:solidFill>
              <w14:schemeClr w14:val="tx1"/>
            </w14:solidFill>
          </w14:textFill>
        </w:rPr>
        <w:t>或提前结束募集</w:t>
      </w:r>
      <w:r>
        <w:rPr>
          <w:bCs/>
          <w:color w:val="000000" w:themeColor="text1"/>
          <w:sz w:val="24"/>
          <w:lang w:eastAsia="zh-CN"/>
          <w14:textFill>
            <w14:solidFill>
              <w14:schemeClr w14:val="tx1"/>
            </w14:solidFill>
          </w14:textFill>
        </w:rPr>
        <w:t>；</w:t>
      </w:r>
    </w:p>
    <w:p w14:paraId="0B0EACB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9、基金管理人的高级管理人员、基金经理和基金托管人的专门基金托管部门负责人发生变动；</w:t>
      </w:r>
    </w:p>
    <w:p w14:paraId="265EDF9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10、基金管理人的董事在</w:t>
      </w:r>
      <w:r>
        <w:rPr>
          <w:rFonts w:hint="eastAsia"/>
          <w:bCs/>
          <w:color w:val="000000" w:themeColor="text1"/>
          <w:sz w:val="24"/>
          <w:lang w:eastAsia="zh-CN"/>
          <w14:textFill>
            <w14:solidFill>
              <w14:schemeClr w14:val="tx1"/>
            </w14:solidFill>
          </w14:textFill>
        </w:rPr>
        <w:t>最近</w:t>
      </w:r>
      <w:r>
        <w:rPr>
          <w:bCs/>
          <w:color w:val="000000" w:themeColor="text1"/>
          <w:sz w:val="24"/>
          <w:lang w:eastAsia="zh-CN"/>
          <w14:textFill>
            <w14:solidFill>
              <w14:schemeClr w14:val="tx1"/>
            </w14:solidFill>
          </w14:textFill>
        </w:rPr>
        <w:t>12</w:t>
      </w:r>
      <w:r>
        <w:rPr>
          <w:rFonts w:hint="eastAsia"/>
          <w:bCs/>
          <w:color w:val="000000" w:themeColor="text1"/>
          <w:sz w:val="24"/>
          <w:lang w:eastAsia="zh-CN"/>
          <w14:textFill>
            <w14:solidFill>
              <w14:schemeClr w14:val="tx1"/>
            </w14:solidFill>
          </w14:textFill>
        </w:rPr>
        <w:t>个月</w:t>
      </w:r>
      <w:r>
        <w:rPr>
          <w:bCs/>
          <w:color w:val="000000" w:themeColor="text1"/>
          <w:sz w:val="24"/>
          <w:lang w:eastAsia="zh-CN"/>
          <w14:textFill>
            <w14:solidFill>
              <w14:schemeClr w14:val="tx1"/>
            </w14:solidFill>
          </w14:textFill>
        </w:rPr>
        <w:t>内变更超过百分之五十；基金管理人、基金托管人专门基金托管部门的主要业务人员在</w:t>
      </w:r>
      <w:r>
        <w:rPr>
          <w:rFonts w:hint="eastAsia"/>
          <w:bCs/>
          <w:color w:val="000000" w:themeColor="text1"/>
          <w:sz w:val="24"/>
          <w:lang w:eastAsia="zh-CN"/>
          <w14:textFill>
            <w14:solidFill>
              <w14:schemeClr w14:val="tx1"/>
            </w14:solidFill>
          </w14:textFill>
        </w:rPr>
        <w:t>最近</w:t>
      </w:r>
      <w:r>
        <w:rPr>
          <w:bCs/>
          <w:color w:val="000000" w:themeColor="text1"/>
          <w:sz w:val="24"/>
          <w:lang w:eastAsia="zh-CN"/>
          <w14:textFill>
            <w14:solidFill>
              <w14:schemeClr w14:val="tx1"/>
            </w14:solidFill>
          </w14:textFill>
        </w:rPr>
        <w:t>12</w:t>
      </w:r>
      <w:r>
        <w:rPr>
          <w:rFonts w:hint="eastAsia"/>
          <w:bCs/>
          <w:color w:val="000000" w:themeColor="text1"/>
          <w:sz w:val="24"/>
          <w:lang w:eastAsia="zh-CN"/>
          <w14:textFill>
            <w14:solidFill>
              <w14:schemeClr w14:val="tx1"/>
            </w14:solidFill>
          </w14:textFill>
        </w:rPr>
        <w:t>个月</w:t>
      </w:r>
      <w:r>
        <w:rPr>
          <w:bCs/>
          <w:color w:val="000000" w:themeColor="text1"/>
          <w:sz w:val="24"/>
          <w:lang w:eastAsia="zh-CN"/>
          <w14:textFill>
            <w14:solidFill>
              <w14:schemeClr w14:val="tx1"/>
            </w14:solidFill>
          </w14:textFill>
        </w:rPr>
        <w:t>内变动超过百分之三十；</w:t>
      </w:r>
    </w:p>
    <w:p w14:paraId="5692B08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11、涉及基金管理</w:t>
      </w:r>
      <w:r>
        <w:rPr>
          <w:rFonts w:hint="eastAsia"/>
          <w:bCs/>
          <w:color w:val="000000" w:themeColor="text1"/>
          <w:sz w:val="24"/>
          <w:lang w:eastAsia="zh-CN"/>
          <w14:textFill>
            <w14:solidFill>
              <w14:schemeClr w14:val="tx1"/>
            </w14:solidFill>
          </w14:textFill>
        </w:rPr>
        <w:t>业务</w:t>
      </w:r>
      <w:r>
        <w:rPr>
          <w:bCs/>
          <w:color w:val="000000" w:themeColor="text1"/>
          <w:sz w:val="24"/>
          <w:lang w:eastAsia="zh-CN"/>
          <w14:textFill>
            <w14:solidFill>
              <w14:schemeClr w14:val="tx1"/>
            </w14:solidFill>
          </w14:textFill>
        </w:rPr>
        <w:t>、基金财产、基金托管业务的诉讼</w:t>
      </w:r>
      <w:r>
        <w:rPr>
          <w:rFonts w:hint="eastAsia"/>
          <w:bCs/>
          <w:color w:val="000000" w:themeColor="text1"/>
          <w:sz w:val="24"/>
          <w:lang w:eastAsia="zh-CN"/>
          <w14:textFill>
            <w14:solidFill>
              <w14:schemeClr w14:val="tx1"/>
            </w14:solidFill>
          </w14:textFill>
        </w:rPr>
        <w:t>或者仲裁</w:t>
      </w:r>
      <w:r>
        <w:rPr>
          <w:bCs/>
          <w:color w:val="000000" w:themeColor="text1"/>
          <w:sz w:val="24"/>
          <w:lang w:eastAsia="zh-CN"/>
          <w14:textFill>
            <w14:solidFill>
              <w14:schemeClr w14:val="tx1"/>
            </w14:solidFill>
          </w14:textFill>
        </w:rPr>
        <w:t>；</w:t>
      </w:r>
    </w:p>
    <w:p w14:paraId="6A6965E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12、基金管理人</w:t>
      </w:r>
      <w:r>
        <w:rPr>
          <w:rFonts w:hint="eastAsia"/>
          <w:bCs/>
          <w:color w:val="000000" w:themeColor="text1"/>
          <w:sz w:val="24"/>
          <w:lang w:eastAsia="zh-CN"/>
          <w14:textFill>
            <w14:solidFill>
              <w14:schemeClr w14:val="tx1"/>
            </w14:solidFill>
          </w14:textFill>
        </w:rPr>
        <w:t>或</w:t>
      </w:r>
      <w:r>
        <w:rPr>
          <w:bCs/>
          <w:color w:val="000000" w:themeColor="text1"/>
          <w:sz w:val="24"/>
          <w:lang w:eastAsia="zh-CN"/>
          <w14:textFill>
            <w14:solidFill>
              <w14:schemeClr w14:val="tx1"/>
            </w14:solidFill>
          </w14:textFill>
        </w:rPr>
        <w:t>其高级管理人员、基金经理</w:t>
      </w:r>
      <w:r>
        <w:rPr>
          <w:rFonts w:hint="eastAsia"/>
          <w:bCs/>
          <w:color w:val="000000" w:themeColor="text1"/>
          <w:sz w:val="24"/>
          <w:lang w:eastAsia="zh-CN"/>
          <w14:textFill>
            <w14:solidFill>
              <w14:schemeClr w14:val="tx1"/>
            </w14:solidFill>
          </w14:textFill>
        </w:rPr>
        <w:t>因基金管理业务相关行为受到重大</w:t>
      </w:r>
      <w:r>
        <w:rPr>
          <w:bCs/>
          <w:color w:val="000000" w:themeColor="text1"/>
          <w:sz w:val="24"/>
          <w:lang w:eastAsia="zh-CN"/>
          <w14:textFill>
            <w14:solidFill>
              <w14:schemeClr w14:val="tx1"/>
            </w14:solidFill>
          </w14:textFill>
        </w:rPr>
        <w:t>行政处罚</w:t>
      </w:r>
      <w:r>
        <w:rPr>
          <w:rFonts w:hint="eastAsia"/>
          <w:bCs/>
          <w:color w:val="000000" w:themeColor="text1"/>
          <w:sz w:val="24"/>
          <w:lang w:eastAsia="zh-CN"/>
          <w14:textFill>
            <w14:solidFill>
              <w14:schemeClr w14:val="tx1"/>
            </w14:solidFill>
          </w14:textFill>
        </w:rPr>
        <w:t>、刑事处罚</w:t>
      </w:r>
      <w:r>
        <w:rPr>
          <w:bCs/>
          <w:color w:val="000000" w:themeColor="text1"/>
          <w:sz w:val="24"/>
          <w:lang w:eastAsia="zh-CN"/>
          <w14:textFill>
            <w14:solidFill>
              <w14:schemeClr w14:val="tx1"/>
            </w14:solidFill>
          </w14:textFill>
        </w:rPr>
        <w:t>，基金托管人</w:t>
      </w:r>
      <w:r>
        <w:rPr>
          <w:rFonts w:hint="eastAsia"/>
          <w:bCs/>
          <w:color w:val="000000" w:themeColor="text1"/>
          <w:sz w:val="24"/>
          <w:lang w:eastAsia="zh-CN"/>
          <w14:textFill>
            <w14:solidFill>
              <w14:schemeClr w14:val="tx1"/>
            </w14:solidFill>
          </w14:textFill>
        </w:rPr>
        <w:t>或</w:t>
      </w:r>
      <w:r>
        <w:rPr>
          <w:bCs/>
          <w:color w:val="000000" w:themeColor="text1"/>
          <w:sz w:val="24"/>
          <w:lang w:eastAsia="zh-CN"/>
          <w14:textFill>
            <w14:solidFill>
              <w14:schemeClr w14:val="tx1"/>
            </w14:solidFill>
          </w14:textFill>
        </w:rPr>
        <w:t>其专门基金托管部门负责人</w:t>
      </w:r>
      <w:r>
        <w:rPr>
          <w:rFonts w:hint="eastAsia"/>
          <w:bCs/>
          <w:color w:val="000000" w:themeColor="text1"/>
          <w:sz w:val="24"/>
          <w:lang w:eastAsia="zh-CN"/>
          <w14:textFill>
            <w14:solidFill>
              <w14:schemeClr w14:val="tx1"/>
            </w14:solidFill>
          </w14:textFill>
        </w:rPr>
        <w:t>因基金托管业务相关行为受到重大</w:t>
      </w:r>
      <w:r>
        <w:rPr>
          <w:bCs/>
          <w:color w:val="000000" w:themeColor="text1"/>
          <w:sz w:val="24"/>
          <w:lang w:eastAsia="zh-CN"/>
          <w14:textFill>
            <w14:solidFill>
              <w14:schemeClr w14:val="tx1"/>
            </w14:solidFill>
          </w14:textFill>
        </w:rPr>
        <w:t>行政处罚</w:t>
      </w:r>
      <w:r>
        <w:rPr>
          <w:rFonts w:hint="eastAsia"/>
          <w:bCs/>
          <w:color w:val="000000" w:themeColor="text1"/>
          <w:sz w:val="24"/>
          <w:lang w:eastAsia="zh-CN"/>
          <w14:textFill>
            <w14:solidFill>
              <w14:schemeClr w14:val="tx1"/>
            </w14:solidFill>
          </w14:textFill>
        </w:rPr>
        <w:t>、刑事处罚</w:t>
      </w:r>
      <w:r>
        <w:rPr>
          <w:bCs/>
          <w:color w:val="000000" w:themeColor="text1"/>
          <w:sz w:val="24"/>
          <w:lang w:eastAsia="zh-CN"/>
          <w14:textFill>
            <w14:solidFill>
              <w14:schemeClr w14:val="tx1"/>
            </w14:solidFill>
          </w14:textFill>
        </w:rPr>
        <w:t>；</w:t>
      </w:r>
    </w:p>
    <w:p w14:paraId="04C91CE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13、基金管理人</w:t>
      </w:r>
      <w:r>
        <w:rPr>
          <w:rFonts w:hint="eastAsia"/>
          <w:bCs/>
          <w:color w:val="000000" w:themeColor="text1"/>
          <w:sz w:val="24"/>
          <w:lang w:eastAsia="zh-CN"/>
          <w14:textFill>
            <w14:solidFill>
              <w14:schemeClr w14:val="tx1"/>
            </w14:solidFill>
          </w14:textFill>
        </w:rPr>
        <w:t>运用基金财产买卖基金管理人、基金托管人及其控股股东、实际控制人或者与其有重大利害关系的公司发行的证券或者承销期内承销的证券，或者从事其他</w:t>
      </w:r>
      <w:r>
        <w:rPr>
          <w:bCs/>
          <w:color w:val="000000" w:themeColor="text1"/>
          <w:sz w:val="24"/>
          <w:lang w:eastAsia="zh-CN"/>
          <w14:textFill>
            <w14:solidFill>
              <w14:schemeClr w14:val="tx1"/>
            </w14:solidFill>
          </w14:textFill>
        </w:rPr>
        <w:t>重大关联交易事项</w:t>
      </w:r>
      <w:r>
        <w:rPr>
          <w:rFonts w:hint="eastAsia"/>
          <w:bCs/>
          <w:color w:val="000000" w:themeColor="text1"/>
          <w:sz w:val="24"/>
          <w:lang w:eastAsia="zh-CN"/>
          <w14:textFill>
            <w14:solidFill>
              <w14:schemeClr w14:val="tx1"/>
            </w14:solidFill>
          </w14:textFill>
        </w:rPr>
        <w:t>，但中国证监会另有规定的除外</w:t>
      </w:r>
      <w:r>
        <w:rPr>
          <w:bCs/>
          <w:color w:val="000000" w:themeColor="text1"/>
          <w:sz w:val="24"/>
          <w:lang w:eastAsia="zh-CN"/>
          <w14:textFill>
            <w14:solidFill>
              <w14:schemeClr w14:val="tx1"/>
            </w14:solidFill>
          </w14:textFill>
        </w:rPr>
        <w:t>；</w:t>
      </w:r>
    </w:p>
    <w:p w14:paraId="091B7C0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14、基金收益分配事项；</w:t>
      </w:r>
    </w:p>
    <w:p w14:paraId="42E6428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15、管理费、托管费</w:t>
      </w:r>
      <w:r>
        <w:rPr>
          <w:rFonts w:hint="eastAsia"/>
          <w:bCs/>
          <w:color w:val="000000" w:themeColor="text1"/>
          <w:sz w:val="24"/>
          <w:lang w:eastAsia="zh-CN"/>
          <w14:textFill>
            <w14:solidFill>
              <w14:schemeClr w14:val="tx1"/>
            </w14:solidFill>
          </w14:textFill>
        </w:rPr>
        <w:t>、申购费、赎回费</w:t>
      </w:r>
      <w:r>
        <w:rPr>
          <w:bCs/>
          <w:color w:val="000000" w:themeColor="text1"/>
          <w:sz w:val="24"/>
          <w:lang w:eastAsia="zh-CN"/>
          <w14:textFill>
            <w14:solidFill>
              <w14:schemeClr w14:val="tx1"/>
            </w14:solidFill>
          </w14:textFill>
        </w:rPr>
        <w:t>等费用计提标准、计提方式和费率发生变更；</w:t>
      </w:r>
    </w:p>
    <w:p w14:paraId="130771B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16、基金份额净值计价错误达基金份额净值百分之零点五；</w:t>
      </w:r>
    </w:p>
    <w:p w14:paraId="56AA2A85">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17、本基金进入开放期；</w:t>
      </w:r>
    </w:p>
    <w:p w14:paraId="796623A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18、本基金</w:t>
      </w:r>
      <w:r>
        <w:rPr>
          <w:rFonts w:hint="eastAsia"/>
          <w:bCs/>
          <w:color w:val="000000" w:themeColor="text1"/>
          <w:sz w:val="24"/>
          <w:lang w:eastAsia="zh-CN"/>
          <w14:textFill>
            <w14:solidFill>
              <w14:schemeClr w14:val="tx1"/>
            </w14:solidFill>
          </w14:textFill>
        </w:rPr>
        <w:t>在开放期</w:t>
      </w:r>
      <w:r>
        <w:rPr>
          <w:bCs/>
          <w:color w:val="000000" w:themeColor="text1"/>
          <w:sz w:val="24"/>
          <w:lang w:eastAsia="zh-CN"/>
          <w14:textFill>
            <w14:solidFill>
              <w14:schemeClr w14:val="tx1"/>
            </w14:solidFill>
          </w14:textFill>
        </w:rPr>
        <w:t>发生巨额赎回并</w:t>
      </w:r>
      <w:r>
        <w:rPr>
          <w:rFonts w:hint="eastAsia"/>
          <w:bCs/>
          <w:color w:val="000000" w:themeColor="text1"/>
          <w:sz w:val="24"/>
          <w:lang w:eastAsia="zh-CN"/>
          <w14:textFill>
            <w14:solidFill>
              <w14:schemeClr w14:val="tx1"/>
            </w14:solidFill>
          </w14:textFill>
        </w:rPr>
        <w:t>延缓支付赎回款项</w:t>
      </w:r>
      <w:r>
        <w:rPr>
          <w:bCs/>
          <w:color w:val="000000" w:themeColor="text1"/>
          <w:sz w:val="24"/>
          <w:lang w:eastAsia="zh-CN"/>
          <w14:textFill>
            <w14:solidFill>
              <w14:schemeClr w14:val="tx1"/>
            </w14:solidFill>
          </w14:textFill>
        </w:rPr>
        <w:t>；</w:t>
      </w:r>
    </w:p>
    <w:p w14:paraId="4EED163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19、</w:t>
      </w:r>
      <w:r>
        <w:rPr>
          <w:rFonts w:hint="eastAsia"/>
          <w:bCs/>
          <w:color w:val="000000" w:themeColor="text1"/>
          <w:sz w:val="24"/>
          <w:lang w:eastAsia="zh-CN"/>
          <w14:textFill>
            <w14:solidFill>
              <w14:schemeClr w14:val="tx1"/>
            </w14:solidFill>
          </w14:textFill>
        </w:rPr>
        <w:t>本基金</w:t>
      </w:r>
      <w:r>
        <w:rPr>
          <w:bCs/>
          <w:color w:val="000000" w:themeColor="text1"/>
          <w:sz w:val="24"/>
          <w:lang w:eastAsia="zh-CN"/>
          <w14:textFill>
            <w14:solidFill>
              <w14:schemeClr w14:val="tx1"/>
            </w14:solidFill>
          </w14:textFill>
        </w:rPr>
        <w:t>暂停接受申购、赎回申请</w:t>
      </w:r>
      <w:r>
        <w:rPr>
          <w:rFonts w:hint="eastAsia"/>
          <w:bCs/>
          <w:color w:val="000000" w:themeColor="text1"/>
          <w:sz w:val="24"/>
          <w:lang w:eastAsia="zh-CN"/>
          <w14:textFill>
            <w14:solidFill>
              <w14:schemeClr w14:val="tx1"/>
            </w14:solidFill>
          </w14:textFill>
        </w:rPr>
        <w:t>或</w:t>
      </w:r>
      <w:r>
        <w:rPr>
          <w:bCs/>
          <w:color w:val="000000" w:themeColor="text1"/>
          <w:sz w:val="24"/>
          <w:lang w:eastAsia="zh-CN"/>
          <w14:textFill>
            <w14:solidFill>
              <w14:schemeClr w14:val="tx1"/>
            </w14:solidFill>
          </w14:textFill>
        </w:rPr>
        <w:t>重新接受申购、赎回申请；</w:t>
      </w:r>
    </w:p>
    <w:p w14:paraId="23A1F48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20、发生涉及基金申购、赎回事项调整或潜在影响投资者赎回等重大事项时；</w:t>
      </w:r>
    </w:p>
    <w:p w14:paraId="7DB610FD">
      <w:pPr>
        <w:spacing w:line="360" w:lineRule="auto"/>
        <w:ind w:firstLine="480" w:firstLineChars="200"/>
        <w:rPr>
          <w:color w:val="000000" w:themeColor="text1"/>
          <w:sz w:val="24"/>
          <w:lang w:eastAsia="zh-CN"/>
          <w14:textFill>
            <w14:solidFill>
              <w14:schemeClr w14:val="tx1"/>
            </w14:solidFill>
          </w14:textFill>
        </w:rPr>
      </w:pPr>
      <w:r>
        <w:rPr>
          <w:color w:val="000000" w:themeColor="text1"/>
          <w:sz w:val="24"/>
          <w:lang w:eastAsia="zh-CN"/>
          <w14:textFill>
            <w14:solidFill>
              <w14:schemeClr w14:val="tx1"/>
            </w14:solidFill>
          </w14:textFill>
        </w:rPr>
        <w:t>21、基金管理人采用摆动定价机制进行估值；</w:t>
      </w:r>
    </w:p>
    <w:p w14:paraId="6C92CAE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22、</w:t>
      </w:r>
      <w:r>
        <w:rPr>
          <w:rFonts w:hint="eastAsia"/>
          <w:bCs/>
          <w:color w:val="000000" w:themeColor="text1"/>
          <w:sz w:val="24"/>
          <w:lang w:eastAsia="zh-CN"/>
          <w14:textFill>
            <w14:solidFill>
              <w14:schemeClr w14:val="tx1"/>
            </w14:solidFill>
          </w14:textFill>
        </w:rPr>
        <w:t>基金信息披露义务人认为可能对基金份额持有人权益或者基金份额的价格产生重大影响的其他事项或</w:t>
      </w:r>
      <w:r>
        <w:rPr>
          <w:bCs/>
          <w:color w:val="000000" w:themeColor="text1"/>
          <w:sz w:val="24"/>
          <w:lang w:eastAsia="zh-CN"/>
          <w14:textFill>
            <w14:solidFill>
              <w14:schemeClr w14:val="tx1"/>
            </w14:solidFill>
          </w14:textFill>
        </w:rPr>
        <w:t>中国证监会规定的其他事项。</w:t>
      </w:r>
    </w:p>
    <w:p w14:paraId="67E0E07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（八）澄清公告</w:t>
      </w:r>
    </w:p>
    <w:p w14:paraId="4137B81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在《基金合同》存续期限内，任何公共</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中出现的或者在市场上流传的消息可能对基金份额价格产生误导性影响或者引起较大波动的，</w:t>
      </w:r>
      <w:r>
        <w:rPr>
          <w:rFonts w:hint="eastAsia"/>
          <w:bCs/>
          <w:color w:val="000000" w:themeColor="text1"/>
          <w:sz w:val="24"/>
          <w:lang w:eastAsia="zh-CN"/>
          <w14:textFill>
            <w14:solidFill>
              <w14:schemeClr w14:val="tx1"/>
            </w14:solidFill>
          </w14:textFill>
        </w:rPr>
        <w:t>以及可能损害基金份额持有人权益的，</w:t>
      </w:r>
      <w:r>
        <w:rPr>
          <w:bCs/>
          <w:color w:val="000000" w:themeColor="text1"/>
          <w:sz w:val="24"/>
          <w:lang w:eastAsia="zh-CN"/>
          <w14:textFill>
            <w14:solidFill>
              <w14:schemeClr w14:val="tx1"/>
            </w14:solidFill>
          </w14:textFill>
        </w:rPr>
        <w:t>相关信息披露义务人知悉后应当立即对该消息进行公开澄清。</w:t>
      </w:r>
    </w:p>
    <w:p w14:paraId="2D9D642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（九）基金份额持有人大会决议</w:t>
      </w:r>
    </w:p>
    <w:p w14:paraId="1974C84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基金份额持有人大会决定的事项，应当依法报</w:t>
      </w:r>
      <w:r>
        <w:rPr>
          <w:rFonts w:hint="eastAsia"/>
          <w:bCs/>
          <w:color w:val="000000" w:themeColor="text1"/>
          <w:sz w:val="24"/>
          <w:lang w:eastAsia="zh-CN"/>
          <w14:textFill>
            <w14:solidFill>
              <w14:schemeClr w14:val="tx1"/>
            </w14:solidFill>
          </w14:textFill>
        </w:rPr>
        <w:t>中国证监会</w:t>
      </w:r>
      <w:r>
        <w:rPr>
          <w:bCs/>
          <w:color w:val="000000" w:themeColor="text1"/>
          <w:sz w:val="24"/>
          <w:lang w:eastAsia="zh-CN"/>
          <w14:textFill>
            <w14:solidFill>
              <w14:schemeClr w14:val="tx1"/>
            </w14:solidFill>
          </w14:textFill>
        </w:rPr>
        <w:t>备案，并予以公告。</w:t>
      </w:r>
    </w:p>
    <w:p w14:paraId="7D7B4AB1">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（十）实施侧袋机制期间的信息披露</w:t>
      </w:r>
    </w:p>
    <w:p w14:paraId="4B69DE55">
      <w:pPr>
        <w:spacing w:line="360" w:lineRule="auto"/>
        <w:ind w:firstLine="480" w:firstLineChars="200"/>
        <w:rPr>
          <w:b/>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本基金实施侧袋机制的，相关信息披露义务人应当根据法律法规、基金合同和招募说明书的规定进行信息披露，详见招募说明书“侧袋机制”部分的规定。</w:t>
      </w:r>
    </w:p>
    <w:p w14:paraId="563BEA5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（十</w:t>
      </w:r>
      <w:r>
        <w:rPr>
          <w:rFonts w:hint="eastAsia"/>
          <w:bCs/>
          <w:color w:val="000000" w:themeColor="text1"/>
          <w:sz w:val="24"/>
          <w:lang w:eastAsia="zh-CN"/>
          <w14:textFill>
            <w14:solidFill>
              <w14:schemeClr w14:val="tx1"/>
            </w14:solidFill>
          </w14:textFill>
        </w:rPr>
        <w:t>一</w:t>
      </w:r>
      <w:r>
        <w:rPr>
          <w:bCs/>
          <w:color w:val="000000" w:themeColor="text1"/>
          <w:sz w:val="24"/>
          <w:lang w:eastAsia="zh-CN"/>
          <w14:textFill>
            <w14:solidFill>
              <w14:schemeClr w14:val="tx1"/>
            </w14:solidFill>
          </w14:textFill>
        </w:rPr>
        <w:t>）中国证监会规定的其他信息。</w:t>
      </w:r>
    </w:p>
    <w:p w14:paraId="7D7EB4F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六、信息披露事务管理</w:t>
      </w:r>
    </w:p>
    <w:p w14:paraId="019305F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基金管理人、基金托管人应当建立健全信息披露管理制度，指定专</w:t>
      </w:r>
      <w:r>
        <w:rPr>
          <w:rFonts w:hint="eastAsia"/>
          <w:bCs/>
          <w:color w:val="000000" w:themeColor="text1"/>
          <w:sz w:val="24"/>
          <w:lang w:eastAsia="zh-CN"/>
          <w14:textFill>
            <w14:solidFill>
              <w14:schemeClr w14:val="tx1"/>
            </w14:solidFill>
          </w14:textFill>
        </w:rPr>
        <w:t>门部门及高级管理人员</w:t>
      </w:r>
      <w:r>
        <w:rPr>
          <w:bCs/>
          <w:color w:val="000000" w:themeColor="text1"/>
          <w:sz w:val="24"/>
          <w:lang w:eastAsia="zh-CN"/>
          <w14:textFill>
            <w14:solidFill>
              <w14:schemeClr w14:val="tx1"/>
            </w14:solidFill>
          </w14:textFill>
        </w:rPr>
        <w:t>负责管理信息披露事务。</w:t>
      </w:r>
    </w:p>
    <w:p w14:paraId="72D805E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基金信息披露义务人公开披露基金信息，应当符合中国证监会相关基金信息披露内容与格式准则</w:t>
      </w:r>
      <w:r>
        <w:rPr>
          <w:rFonts w:hint="eastAsia"/>
          <w:bCs/>
          <w:color w:val="000000" w:themeColor="text1"/>
          <w:sz w:val="24"/>
          <w:lang w:eastAsia="zh-CN"/>
          <w14:textFill>
            <w14:solidFill>
              <w14:schemeClr w14:val="tx1"/>
            </w14:solidFill>
          </w14:textFill>
        </w:rPr>
        <w:t>等法规</w:t>
      </w:r>
      <w:r>
        <w:rPr>
          <w:bCs/>
          <w:color w:val="000000" w:themeColor="text1"/>
          <w:sz w:val="24"/>
          <w:lang w:eastAsia="zh-CN"/>
          <w14:textFill>
            <w14:solidFill>
              <w14:schemeClr w14:val="tx1"/>
            </w14:solidFill>
          </w14:textFill>
        </w:rPr>
        <w:t>的规定。</w:t>
      </w:r>
    </w:p>
    <w:p w14:paraId="76607E0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基金托管人应当按照相关法律法规、中国证监会的规定和《基金合同》的约定，对基金管理人编制的基金资产净值、基金份额净值、基金份额申购赎回价格、基金定期报告</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更新的招募说明书</w:t>
      </w:r>
      <w:r>
        <w:rPr>
          <w:rFonts w:hint="eastAsia"/>
          <w:bCs/>
          <w:color w:val="000000" w:themeColor="text1"/>
          <w:sz w:val="24"/>
          <w:lang w:eastAsia="zh-CN"/>
          <w14:textFill>
            <w14:solidFill>
              <w14:schemeClr w14:val="tx1"/>
            </w14:solidFill>
          </w14:textFill>
        </w:rPr>
        <w:t>、基金产品资料概要、基金清算报告</w:t>
      </w:r>
      <w:r>
        <w:rPr>
          <w:bCs/>
          <w:color w:val="000000" w:themeColor="text1"/>
          <w:sz w:val="24"/>
          <w:lang w:eastAsia="zh-CN"/>
          <w14:textFill>
            <w14:solidFill>
              <w14:schemeClr w14:val="tx1"/>
            </w14:solidFill>
          </w14:textFill>
        </w:rPr>
        <w:t>等公开披露的相关基金信息进行复核、审查，并向基金管理人</w:t>
      </w:r>
      <w:r>
        <w:rPr>
          <w:rFonts w:hint="eastAsia"/>
          <w:bCs/>
          <w:color w:val="000000" w:themeColor="text1"/>
          <w:sz w:val="24"/>
          <w:lang w:eastAsia="zh-CN"/>
          <w14:textFill>
            <w14:solidFill>
              <w14:schemeClr w14:val="tx1"/>
            </w14:solidFill>
          </w14:textFill>
        </w:rPr>
        <w:t>进行</w:t>
      </w:r>
      <w:r>
        <w:rPr>
          <w:bCs/>
          <w:color w:val="000000" w:themeColor="text1"/>
          <w:sz w:val="24"/>
          <w:lang w:eastAsia="zh-CN"/>
          <w14:textFill>
            <w14:solidFill>
              <w14:schemeClr w14:val="tx1"/>
            </w14:solidFill>
          </w14:textFill>
        </w:rPr>
        <w:t>书面或</w:t>
      </w:r>
      <w:r>
        <w:rPr>
          <w:rFonts w:hint="eastAsia"/>
          <w:bCs/>
          <w:color w:val="000000" w:themeColor="text1"/>
          <w:sz w:val="24"/>
          <w:lang w:eastAsia="zh-CN"/>
          <w14:textFill>
            <w14:solidFill>
              <w14:schemeClr w14:val="tx1"/>
            </w14:solidFill>
          </w14:textFill>
        </w:rPr>
        <w:t>电子</w:t>
      </w:r>
      <w:r>
        <w:rPr>
          <w:bCs/>
          <w:color w:val="000000" w:themeColor="text1"/>
          <w:sz w:val="24"/>
          <w:lang w:eastAsia="zh-CN"/>
          <w14:textFill>
            <w14:solidFill>
              <w14:schemeClr w14:val="tx1"/>
            </w14:solidFill>
          </w14:textFill>
        </w:rPr>
        <w:t>确认。</w:t>
      </w:r>
    </w:p>
    <w:p w14:paraId="6E6DFE7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基金管理人、基金托管人应当在</w:t>
      </w:r>
      <w:r>
        <w:rPr>
          <w:rFonts w:hint="eastAsia"/>
          <w:bCs/>
          <w:color w:val="000000" w:themeColor="text1"/>
          <w:sz w:val="24"/>
          <w:lang w:eastAsia="zh-CN"/>
          <w14:textFill>
            <w14:solidFill>
              <w14:schemeClr w14:val="tx1"/>
            </w14:solidFill>
          </w14:textFill>
        </w:rPr>
        <w:t>规定报刊</w:t>
      </w:r>
      <w:r>
        <w:rPr>
          <w:bCs/>
          <w:color w:val="000000" w:themeColor="text1"/>
          <w:sz w:val="24"/>
          <w:lang w:eastAsia="zh-CN"/>
          <w14:textFill>
            <w14:solidFill>
              <w14:schemeClr w14:val="tx1"/>
            </w14:solidFill>
          </w14:textFill>
        </w:rPr>
        <w:t>中选择披露信息的报刊。</w:t>
      </w:r>
    </w:p>
    <w:p w14:paraId="21F8E930">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基金管理人、基金托管人应当向中国证监会基金电子披露网站报送拟披露的基金信息，并保证相关报送信息的真实、准确、完整、及时。</w:t>
      </w:r>
    </w:p>
    <w:p w14:paraId="52561B8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基金管理人、基金托管人除依法在</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上披露信息外，还可以根据需要在其他公共</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披露信息，但是其他公共</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不得早于</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披露信息，并且在不同媒介上披露同一信息的内容应当一致。</w:t>
      </w:r>
    </w:p>
    <w:p w14:paraId="6FEF4D1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为基金信息披露义务人公开披露的基金信息出具审计报告、法律意见书的专业机构，应当制作工作底稿，并将相关档案至少保存到《基金合同》终止后</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年。</w:t>
      </w:r>
    </w:p>
    <w:p w14:paraId="6ADA263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七、信息披露文件的存放与查阅</w:t>
      </w:r>
    </w:p>
    <w:p w14:paraId="11CC5343">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依法必须披露的信息</w:t>
      </w:r>
      <w:r>
        <w:rPr>
          <w:bCs/>
          <w:color w:val="000000" w:themeColor="text1"/>
          <w:sz w:val="24"/>
          <w:lang w:eastAsia="zh-CN"/>
          <w14:textFill>
            <w14:solidFill>
              <w14:schemeClr w14:val="tx1"/>
            </w14:solidFill>
          </w14:textFill>
        </w:rPr>
        <w:t>公布后，基金管理人、基金托管人</w:t>
      </w:r>
      <w:r>
        <w:rPr>
          <w:rFonts w:hint="eastAsia"/>
          <w:bCs/>
          <w:color w:val="000000" w:themeColor="text1"/>
          <w:sz w:val="24"/>
          <w:lang w:eastAsia="zh-CN"/>
          <w14:textFill>
            <w14:solidFill>
              <w14:schemeClr w14:val="tx1"/>
            </w14:solidFill>
          </w14:textFill>
        </w:rPr>
        <w:t>应当按照相关法律法规规定将信息置备于各自</w:t>
      </w:r>
      <w:r>
        <w:rPr>
          <w:bCs/>
          <w:color w:val="000000" w:themeColor="text1"/>
          <w:sz w:val="24"/>
          <w:lang w:eastAsia="zh-CN"/>
          <w14:textFill>
            <w14:solidFill>
              <w14:schemeClr w14:val="tx1"/>
            </w14:solidFill>
          </w14:textFill>
        </w:rPr>
        <w:t>住所</w:t>
      </w:r>
      <w:r>
        <w:rPr>
          <w:rFonts w:hint="default" w:ascii="宋体" w:eastAsia="宋体"/>
          <w:bCs/>
          <w:color w:val="000000" w:themeColor="text1"/>
          <w:sz w:val="24"/>
          <w:szCs w:val="22"/>
          <w:lang w:eastAsia="zh-CN"/>
          <w14:textFill>
            <w14:solidFill>
              <w14:schemeClr w14:val="tx1"/>
            </w14:solidFill>
          </w14:textFill>
        </w:rPr>
        <w:t>或营业场所</w:t>
      </w:r>
      <w:r>
        <w:rPr>
          <w:bCs/>
          <w:color w:val="000000" w:themeColor="text1"/>
          <w:sz w:val="24"/>
          <w:lang w:eastAsia="zh-CN"/>
          <w14:textFill>
            <w14:solidFill>
              <w14:schemeClr w14:val="tx1"/>
            </w14:solidFill>
          </w14:textFill>
        </w:rPr>
        <w:t>，供社会公众查阅、复制。</w:t>
      </w:r>
    </w:p>
    <w:p w14:paraId="3D4036F2">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八、暂停或延迟信息披露的情形</w:t>
      </w:r>
    </w:p>
    <w:p w14:paraId="29A8944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当出现下述情况时，基金管理人和基金托管人可暂停或延迟披露基金相关信息：</w:t>
      </w:r>
    </w:p>
    <w:p w14:paraId="64DF8547">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1、不可抗力；</w:t>
      </w:r>
    </w:p>
    <w:p w14:paraId="73B95452">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2、发生暂停估值的情形；</w:t>
      </w:r>
    </w:p>
    <w:p w14:paraId="6DAA9F58">
      <w:pPr>
        <w:adjustRightInd w:val="0"/>
        <w:snapToGrid w:val="0"/>
        <w:spacing w:line="360" w:lineRule="auto"/>
        <w:ind w:firstLine="480" w:firstLineChars="200"/>
        <w:rPr>
          <w:bCs/>
          <w:sz w:val="24"/>
          <w:szCs w:val="24"/>
          <w:lang w:eastAsia="zh-CN"/>
        </w:rPr>
      </w:pPr>
      <w:r>
        <w:rPr>
          <w:rFonts w:hint="eastAsia"/>
          <w:bCs/>
          <w:color w:val="000000" w:themeColor="text1"/>
          <w:sz w:val="24"/>
          <w:lang w:eastAsia="zh-CN"/>
          <w14:textFill>
            <w14:solidFill>
              <w14:schemeClr w14:val="tx1"/>
            </w14:solidFill>
          </w14:textFill>
        </w:rPr>
        <w:t>3、法律法规规定、中国证监会或基金合同认定的其他情形。</w:t>
      </w:r>
      <w:bookmarkEnd w:id="84"/>
    </w:p>
    <w:bookmarkEnd w:id="85"/>
    <w:p w14:paraId="3A806F02">
      <w:pPr>
        <w:tabs>
          <w:tab w:val="left" w:pos="1293"/>
        </w:tabs>
        <w:spacing w:line="424" w:lineRule="auto"/>
        <w:ind w:right="861"/>
        <w:jc w:val="both"/>
        <w:rPr>
          <w:sz w:val="21"/>
          <w:lang w:eastAsia="zh-CN"/>
        </w:rPr>
        <w:sectPr>
          <w:pgSz w:w="11910" w:h="16840"/>
          <w:pgMar w:top="1440" w:right="1800" w:bottom="1440" w:left="1800" w:header="873" w:footer="991" w:gutter="0"/>
          <w:cols w:space="720" w:num="1"/>
        </w:sectPr>
      </w:pPr>
    </w:p>
    <w:p w14:paraId="1C66DFC6">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86" w:name="_bookmark18"/>
      <w:bookmarkEnd w:id="86"/>
      <w:bookmarkStart w:id="87" w:name="_Toc69831256"/>
      <w:r>
        <w:rPr>
          <w:rFonts w:hint="eastAsia" w:ascii="Times New Roman" w:hAnsi="Times New Roman" w:cs="Times New Roman"/>
          <w:b/>
          <w:szCs w:val="20"/>
          <w:lang w:eastAsia="zh-CN" w:bidi="ar-SA"/>
        </w:rPr>
        <w:t xml:space="preserve">第十八部分 </w:t>
      </w:r>
      <w:r>
        <w:rPr>
          <w:rFonts w:ascii="Times New Roman" w:hAnsi="Times New Roman" w:cs="Times New Roman"/>
          <w:b/>
          <w:szCs w:val="20"/>
          <w:lang w:eastAsia="zh-CN" w:bidi="ar-SA"/>
        </w:rPr>
        <w:t xml:space="preserve"> </w:t>
      </w:r>
      <w:r>
        <w:rPr>
          <w:rFonts w:hint="eastAsia" w:ascii="Times New Roman" w:hAnsi="Times New Roman" w:cs="Times New Roman"/>
          <w:b/>
          <w:szCs w:val="20"/>
          <w:lang w:eastAsia="zh-CN" w:bidi="ar-SA"/>
        </w:rPr>
        <w:t>侧袋机制</w:t>
      </w:r>
      <w:bookmarkEnd w:id="87"/>
    </w:p>
    <w:p w14:paraId="5ABEFCB1">
      <w:pPr>
        <w:spacing w:line="360" w:lineRule="auto"/>
        <w:ind w:firstLine="480" w:firstLineChars="200"/>
        <w:rPr>
          <w:bCs/>
          <w:color w:val="000000"/>
          <w:sz w:val="24"/>
          <w:lang w:eastAsia="zh-CN"/>
        </w:rPr>
      </w:pPr>
    </w:p>
    <w:p w14:paraId="2749004C">
      <w:pPr>
        <w:spacing w:line="360" w:lineRule="auto"/>
        <w:ind w:firstLine="480" w:firstLineChars="200"/>
        <w:rPr>
          <w:bCs/>
          <w:color w:val="000000"/>
          <w:sz w:val="24"/>
          <w:lang w:eastAsia="zh-CN"/>
        </w:rPr>
      </w:pPr>
      <w:r>
        <w:rPr>
          <w:rFonts w:hint="eastAsia"/>
          <w:bCs/>
          <w:color w:val="000000"/>
          <w:sz w:val="24"/>
          <w:lang w:eastAsia="zh-CN"/>
        </w:rPr>
        <w:t>一、侧袋机制的实施条件</w:t>
      </w:r>
    </w:p>
    <w:p w14:paraId="661FA9E5">
      <w:pPr>
        <w:spacing w:line="360" w:lineRule="auto"/>
        <w:ind w:firstLine="480" w:firstLineChars="200"/>
        <w:rPr>
          <w:bCs/>
          <w:color w:val="000000"/>
          <w:sz w:val="24"/>
          <w:lang w:eastAsia="zh-CN"/>
        </w:rPr>
      </w:pPr>
      <w:r>
        <w:rPr>
          <w:rFonts w:hint="eastAsia"/>
          <w:bCs/>
          <w:color w:val="000000"/>
          <w:sz w:val="24"/>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73282E40">
      <w:pPr>
        <w:spacing w:line="360" w:lineRule="auto"/>
        <w:ind w:firstLine="480" w:firstLineChars="200"/>
        <w:rPr>
          <w:bCs/>
          <w:color w:val="000000"/>
          <w:sz w:val="24"/>
          <w:lang w:eastAsia="zh-CN"/>
        </w:rPr>
      </w:pPr>
      <w:r>
        <w:rPr>
          <w:rFonts w:hint="eastAsia"/>
          <w:bCs/>
          <w:color w:val="000000"/>
          <w:sz w:val="24"/>
          <w:lang w:eastAsia="zh-CN"/>
        </w:rPr>
        <w:t>基金管理人应当在启用侧袋机制后及时发布临时公告，</w:t>
      </w:r>
      <w:bookmarkStart w:id="88" w:name="_Hlk45746268"/>
      <w:r>
        <w:rPr>
          <w:rFonts w:hint="eastAsia"/>
          <w:bCs/>
          <w:color w:val="000000"/>
          <w:sz w:val="24"/>
          <w:lang w:eastAsia="zh-CN"/>
        </w:rPr>
        <w:t>并</w:t>
      </w:r>
      <w:bookmarkEnd w:id="88"/>
      <w:r>
        <w:rPr>
          <w:rFonts w:hint="eastAsia"/>
          <w:bCs/>
          <w:color w:val="000000"/>
          <w:sz w:val="24"/>
          <w:lang w:eastAsia="zh-CN"/>
        </w:rPr>
        <w:t>及时聘请符合《中华人民共和国证券法》规定的会计师事务所</w:t>
      </w:r>
      <w:bookmarkStart w:id="89" w:name="_Hlk45746299"/>
      <w:r>
        <w:rPr>
          <w:rFonts w:hint="eastAsia"/>
          <w:bCs/>
          <w:color w:val="000000"/>
          <w:sz w:val="24"/>
          <w:lang w:eastAsia="zh-CN"/>
        </w:rPr>
        <w:t>进行审计并披露</w:t>
      </w:r>
      <w:bookmarkEnd w:id="89"/>
      <w:r>
        <w:rPr>
          <w:rFonts w:hint="eastAsia"/>
          <w:bCs/>
          <w:color w:val="000000"/>
          <w:sz w:val="24"/>
          <w:lang w:eastAsia="zh-CN"/>
        </w:rPr>
        <w:t>专项审计意见。</w:t>
      </w:r>
    </w:p>
    <w:p w14:paraId="66D0C8E6">
      <w:pPr>
        <w:spacing w:line="360" w:lineRule="auto"/>
        <w:ind w:firstLine="480" w:firstLineChars="200"/>
        <w:rPr>
          <w:bCs/>
          <w:color w:val="000000"/>
          <w:sz w:val="24"/>
          <w:lang w:eastAsia="zh-CN"/>
        </w:rPr>
      </w:pPr>
      <w:r>
        <w:rPr>
          <w:rFonts w:hint="eastAsia"/>
          <w:bCs/>
          <w:color w:val="000000"/>
          <w:sz w:val="24"/>
          <w:lang w:eastAsia="zh-CN"/>
        </w:rPr>
        <w:t>二、实施侧袋机制期间基金份额的申购与赎回</w:t>
      </w:r>
    </w:p>
    <w:p w14:paraId="2EDE9E24">
      <w:pPr>
        <w:spacing w:line="360" w:lineRule="auto"/>
        <w:ind w:firstLine="480" w:firstLineChars="200"/>
        <w:rPr>
          <w:bCs/>
          <w:color w:val="000000"/>
          <w:sz w:val="24"/>
          <w:lang w:eastAsia="zh-CN"/>
        </w:rPr>
      </w:pPr>
      <w:r>
        <w:rPr>
          <w:rFonts w:hint="eastAsia"/>
          <w:bCs/>
          <w:color w:val="000000"/>
          <w:sz w:val="24"/>
          <w:lang w:eastAsia="zh-CN"/>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14:paraId="7C71E857">
      <w:pPr>
        <w:spacing w:line="360" w:lineRule="auto"/>
        <w:ind w:firstLine="480" w:firstLineChars="200"/>
        <w:rPr>
          <w:bCs/>
          <w:color w:val="000000"/>
          <w:sz w:val="24"/>
          <w:lang w:eastAsia="zh-CN"/>
        </w:rPr>
      </w:pPr>
      <w:r>
        <w:rPr>
          <w:bCs/>
          <w:color w:val="000000"/>
          <w:sz w:val="24"/>
          <w:lang w:eastAsia="zh-CN"/>
        </w:rPr>
        <w:t>2</w:t>
      </w:r>
      <w:r>
        <w:rPr>
          <w:rFonts w:hint="eastAsia"/>
          <w:bCs/>
          <w:color w:val="000000"/>
          <w:sz w:val="24"/>
          <w:lang w:eastAsia="zh-CN"/>
        </w:rPr>
        <w:t>、实施侧袋机制期间，基金管理人不办理侧袋账户份额的申购、赎回和转换；同时，基金管理人按照基金合同和招募说明书的约定办理主袋账户份额的赎回，并根据主袋账户运作情况确定是否暂停申购。</w:t>
      </w:r>
    </w:p>
    <w:p w14:paraId="1D6114F9">
      <w:pPr>
        <w:spacing w:line="360" w:lineRule="auto"/>
        <w:ind w:firstLine="480" w:firstLineChars="200"/>
        <w:rPr>
          <w:bCs/>
          <w:color w:val="000000"/>
          <w:sz w:val="24"/>
          <w:lang w:eastAsia="zh-CN"/>
        </w:rPr>
      </w:pPr>
      <w:r>
        <w:rPr>
          <w:bCs/>
          <w:color w:val="000000"/>
          <w:sz w:val="24"/>
          <w:lang w:eastAsia="zh-CN"/>
        </w:rPr>
        <w:t>3</w:t>
      </w:r>
      <w:r>
        <w:rPr>
          <w:rFonts w:hint="eastAsia"/>
          <w:bCs/>
          <w:color w:val="000000"/>
          <w:sz w:val="24"/>
          <w:lang w:eastAsia="zh-CN"/>
        </w:rPr>
        <w:t>、除基金管理人应按照主袋账户的份额净值办理主袋账户份额的申购和赎回外，本招募说明书“基金份额的申购、赎回”部分的申购、赎回规定适用于主袋账户份额。巨额赎回按照单个开放日内主袋账户份额净赎回申请超过前一</w:t>
      </w:r>
      <w:r>
        <w:rPr>
          <w:rFonts w:hint="eastAsia"/>
          <w:bCs/>
          <w:sz w:val="24"/>
          <w:lang w:eastAsia="zh-CN"/>
        </w:rPr>
        <w:t>工作</w:t>
      </w:r>
      <w:r>
        <w:rPr>
          <w:rFonts w:hint="eastAsia"/>
          <w:bCs/>
          <w:color w:val="000000"/>
          <w:sz w:val="24"/>
          <w:lang w:eastAsia="zh-CN"/>
        </w:rPr>
        <w:t>日主袋账户总份额的</w:t>
      </w:r>
      <w:r>
        <w:rPr>
          <w:bCs/>
          <w:color w:val="000000"/>
          <w:sz w:val="24"/>
          <w:lang w:eastAsia="zh-CN"/>
        </w:rPr>
        <w:t>20</w:t>
      </w:r>
      <w:r>
        <w:rPr>
          <w:rFonts w:hint="eastAsia"/>
          <w:bCs/>
          <w:color w:val="000000"/>
          <w:sz w:val="24"/>
          <w:lang w:eastAsia="zh-CN"/>
        </w:rPr>
        <w:t>%认定。</w:t>
      </w:r>
    </w:p>
    <w:p w14:paraId="7AFD1071">
      <w:pPr>
        <w:spacing w:line="360" w:lineRule="auto"/>
        <w:ind w:firstLine="480" w:firstLineChars="200"/>
        <w:rPr>
          <w:bCs/>
          <w:color w:val="000000"/>
          <w:sz w:val="24"/>
          <w:lang w:eastAsia="zh-CN"/>
        </w:rPr>
      </w:pPr>
      <w:r>
        <w:rPr>
          <w:rFonts w:hint="eastAsia"/>
          <w:bCs/>
          <w:color w:val="000000"/>
          <w:sz w:val="24"/>
          <w:lang w:eastAsia="zh-CN"/>
        </w:rPr>
        <w:t>三、实施侧袋机制期间的基金投资</w:t>
      </w:r>
    </w:p>
    <w:p w14:paraId="62E980B4">
      <w:pPr>
        <w:spacing w:line="360" w:lineRule="auto"/>
        <w:ind w:firstLine="480" w:firstLineChars="200"/>
        <w:rPr>
          <w:bCs/>
          <w:color w:val="000000"/>
          <w:sz w:val="24"/>
          <w:lang w:eastAsia="zh-CN"/>
        </w:rPr>
      </w:pPr>
      <w:r>
        <w:rPr>
          <w:rFonts w:hint="eastAsia"/>
          <w:bCs/>
          <w:color w:val="000000"/>
          <w:sz w:val="24"/>
          <w:lang w:eastAsia="zh-CN"/>
        </w:rPr>
        <w:t>侧袋机制实施期间，招募说明书“基金的投资”部分约定的</w:t>
      </w:r>
      <w:r>
        <w:rPr>
          <w:bCs/>
          <w:color w:val="000000"/>
          <w:sz w:val="24"/>
          <w:lang w:eastAsia="zh-CN"/>
        </w:rPr>
        <w:t>投资组合比例</w:t>
      </w:r>
      <w:r>
        <w:rPr>
          <w:rFonts w:hint="eastAsia"/>
          <w:bCs/>
          <w:color w:val="000000"/>
          <w:sz w:val="24"/>
          <w:lang w:eastAsia="zh-CN"/>
        </w:rPr>
        <w:t>、投资策略、</w:t>
      </w:r>
      <w:r>
        <w:rPr>
          <w:bCs/>
          <w:color w:val="000000"/>
          <w:sz w:val="24"/>
          <w:lang w:eastAsia="zh-CN"/>
        </w:rPr>
        <w:t>组合限制</w:t>
      </w:r>
      <w:r>
        <w:rPr>
          <w:rFonts w:hint="eastAsia"/>
          <w:bCs/>
          <w:color w:val="000000"/>
          <w:sz w:val="24"/>
          <w:lang w:eastAsia="zh-CN"/>
        </w:rPr>
        <w:t>、业绩比较基准、风险收益特征等约定仅适用于主袋账户。基金管理人计算各项投资运作指标和基金业绩指标时仅需考虑主袋账户资产。</w:t>
      </w:r>
    </w:p>
    <w:p w14:paraId="13BB11F9">
      <w:pPr>
        <w:spacing w:line="360" w:lineRule="auto"/>
        <w:ind w:firstLine="480" w:firstLineChars="200"/>
        <w:rPr>
          <w:bCs/>
          <w:color w:val="000000"/>
          <w:sz w:val="24"/>
          <w:lang w:eastAsia="zh-CN"/>
        </w:rPr>
      </w:pPr>
      <w:r>
        <w:rPr>
          <w:rFonts w:hint="eastAsia"/>
          <w:bCs/>
          <w:color w:val="000000"/>
          <w:sz w:val="24"/>
          <w:lang w:eastAsia="zh-CN"/>
        </w:rPr>
        <w:t>基金管理人原则上应当在侧袋</w:t>
      </w:r>
      <w:r>
        <w:rPr>
          <w:bCs/>
          <w:color w:val="000000"/>
          <w:sz w:val="24"/>
          <w:lang w:eastAsia="zh-CN"/>
        </w:rPr>
        <w:t>机制启用后20个交易日内完成对主袋账户投资组合的调整，</w:t>
      </w:r>
      <w:r>
        <w:rPr>
          <w:rFonts w:hint="eastAsia"/>
          <w:bCs/>
          <w:color w:val="000000"/>
          <w:sz w:val="24"/>
          <w:lang w:eastAsia="zh-CN"/>
        </w:rPr>
        <w:t>因资产流动性受限等中国证监会规定的情形除外。</w:t>
      </w:r>
    </w:p>
    <w:p w14:paraId="1A7560CA">
      <w:pPr>
        <w:spacing w:line="360" w:lineRule="auto"/>
        <w:ind w:firstLine="480" w:firstLineChars="200"/>
        <w:rPr>
          <w:bCs/>
          <w:color w:val="000000"/>
          <w:sz w:val="24"/>
          <w:lang w:eastAsia="zh-CN"/>
        </w:rPr>
      </w:pPr>
      <w:r>
        <w:rPr>
          <w:rFonts w:hint="eastAsia"/>
          <w:bCs/>
          <w:color w:val="000000"/>
          <w:sz w:val="24"/>
          <w:lang w:eastAsia="zh-CN"/>
        </w:rPr>
        <w:t>基金管理人不得在侧袋账户中进行除特定资产处置变现以外的其他投资操作。</w:t>
      </w:r>
    </w:p>
    <w:p w14:paraId="45E8BF7E">
      <w:pPr>
        <w:spacing w:line="360" w:lineRule="auto"/>
        <w:ind w:firstLine="480" w:firstLineChars="200"/>
        <w:rPr>
          <w:bCs/>
          <w:color w:val="000000"/>
          <w:sz w:val="24"/>
          <w:lang w:eastAsia="zh-CN"/>
        </w:rPr>
      </w:pPr>
      <w:r>
        <w:rPr>
          <w:rFonts w:hint="eastAsia"/>
          <w:bCs/>
          <w:color w:val="000000"/>
          <w:sz w:val="24"/>
          <w:lang w:eastAsia="zh-CN"/>
        </w:rPr>
        <w:t>四、实施侧袋机制期间的基金估值</w:t>
      </w:r>
    </w:p>
    <w:p w14:paraId="43FD2A34">
      <w:pPr>
        <w:spacing w:line="360" w:lineRule="auto"/>
        <w:ind w:firstLine="480" w:firstLineChars="200"/>
        <w:rPr>
          <w:bCs/>
          <w:color w:val="000000"/>
          <w:sz w:val="24"/>
          <w:lang w:eastAsia="zh-CN"/>
        </w:rPr>
      </w:pPr>
      <w:r>
        <w:rPr>
          <w:rFonts w:hint="eastAsia"/>
          <w:bCs/>
          <w:color w:val="000000"/>
          <w:sz w:val="24"/>
          <w:lang w:eastAsia="zh-CN"/>
        </w:rPr>
        <w:t>本基金实施侧袋机制的，基金管理人和基金托管人应对主袋账户资产进行估值并披露主袋账户的基金净值信息，暂停披露侧袋账户份额净值。侧袋账户的会计核算应符合《企业会计准则》的相关要求。</w:t>
      </w:r>
    </w:p>
    <w:p w14:paraId="0ADABE12">
      <w:pPr>
        <w:spacing w:line="360" w:lineRule="auto"/>
        <w:ind w:firstLine="480" w:firstLineChars="200"/>
        <w:rPr>
          <w:bCs/>
          <w:color w:val="000000"/>
          <w:sz w:val="24"/>
          <w:lang w:eastAsia="zh-CN"/>
        </w:rPr>
      </w:pPr>
      <w:r>
        <w:rPr>
          <w:rFonts w:hint="eastAsia"/>
          <w:bCs/>
          <w:color w:val="000000"/>
          <w:sz w:val="24"/>
          <w:lang w:eastAsia="zh-CN"/>
        </w:rPr>
        <w:t>五、实施侧袋机制期间的基金费用</w:t>
      </w:r>
    </w:p>
    <w:p w14:paraId="39245C04">
      <w:pPr>
        <w:spacing w:line="360" w:lineRule="auto"/>
        <w:ind w:firstLine="480" w:firstLineChars="200"/>
        <w:rPr>
          <w:bCs/>
          <w:color w:val="000000"/>
          <w:sz w:val="24"/>
          <w:lang w:eastAsia="zh-CN"/>
        </w:rPr>
      </w:pPr>
      <w:r>
        <w:rPr>
          <w:rFonts w:hint="eastAsia"/>
          <w:bCs/>
          <w:color w:val="000000"/>
          <w:sz w:val="24"/>
          <w:lang w:eastAsia="zh-CN"/>
        </w:rPr>
        <w:t>1、本基金实施侧袋机制的，管理费、托管费按主袋账户基金资产净值作为基数计提。</w:t>
      </w:r>
    </w:p>
    <w:p w14:paraId="1102B10D">
      <w:pPr>
        <w:spacing w:line="360" w:lineRule="auto"/>
        <w:ind w:firstLine="480" w:firstLineChars="200"/>
        <w:rPr>
          <w:bCs/>
          <w:color w:val="000000"/>
          <w:sz w:val="24"/>
          <w:lang w:eastAsia="zh-CN"/>
        </w:rPr>
      </w:pPr>
      <w:r>
        <w:rPr>
          <w:bCs/>
          <w:color w:val="000000"/>
          <w:sz w:val="24"/>
          <w:lang w:eastAsia="zh-CN"/>
        </w:rPr>
        <w:t>2</w:t>
      </w:r>
      <w:r>
        <w:rPr>
          <w:rFonts w:hint="eastAsia"/>
          <w:bCs/>
          <w:color w:val="000000"/>
          <w:sz w:val="24"/>
          <w:lang w:eastAsia="zh-CN"/>
        </w:rPr>
        <w:t>、与侧袋账户有关的费用可从侧袋账户中列支，但应待侧袋账户资产变现后方可列支，有关费用可酌情收取或减免，但不得收取管理费。</w:t>
      </w:r>
    </w:p>
    <w:p w14:paraId="30AE0C22">
      <w:pPr>
        <w:spacing w:line="360" w:lineRule="auto"/>
        <w:ind w:firstLine="480" w:firstLineChars="200"/>
        <w:rPr>
          <w:bCs/>
          <w:color w:val="000000"/>
          <w:sz w:val="24"/>
          <w:lang w:eastAsia="zh-CN"/>
        </w:rPr>
      </w:pPr>
      <w:r>
        <w:rPr>
          <w:rFonts w:hint="eastAsia"/>
          <w:bCs/>
          <w:color w:val="000000"/>
          <w:sz w:val="24"/>
          <w:lang w:eastAsia="zh-CN"/>
        </w:rPr>
        <w:t>六、侧袋账户中特定资产的处置变现和支付</w:t>
      </w:r>
    </w:p>
    <w:p w14:paraId="2E0831F5">
      <w:pPr>
        <w:spacing w:line="360" w:lineRule="auto"/>
        <w:ind w:firstLine="480" w:firstLineChars="200"/>
        <w:rPr>
          <w:bCs/>
          <w:color w:val="000000"/>
          <w:sz w:val="24"/>
          <w:lang w:eastAsia="zh-CN"/>
        </w:rPr>
      </w:pPr>
      <w:r>
        <w:rPr>
          <w:rFonts w:hint="eastAsia"/>
          <w:bCs/>
          <w:color w:val="000000"/>
          <w:sz w:val="24"/>
          <w:lang w:eastAsia="zh-CN"/>
        </w:rPr>
        <w:t>特定资产以可出售、可转让、恢复交易等方式恢复流动性后，基金管理人应当按照基金份额持有人利益最大化原则，采取将特定资产予以处置变现等方式，及时向侧袋账户份额持有人支付对应变现款项。</w:t>
      </w:r>
    </w:p>
    <w:p w14:paraId="5379D57B">
      <w:pPr>
        <w:spacing w:line="360" w:lineRule="auto"/>
        <w:ind w:firstLine="480" w:firstLineChars="200"/>
        <w:rPr>
          <w:bCs/>
          <w:color w:val="000000"/>
          <w:sz w:val="24"/>
          <w:lang w:eastAsia="zh-CN"/>
        </w:rPr>
      </w:pPr>
      <w:r>
        <w:rPr>
          <w:rFonts w:hint="eastAsia"/>
          <w:bCs/>
          <w:color w:val="000000"/>
          <w:sz w:val="24"/>
          <w:lang w:eastAsia="zh-CN"/>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14:paraId="6700F0BE">
      <w:pPr>
        <w:spacing w:line="360" w:lineRule="auto"/>
        <w:ind w:firstLine="480" w:firstLineChars="200"/>
        <w:rPr>
          <w:bCs/>
          <w:color w:val="000000"/>
          <w:sz w:val="24"/>
          <w:lang w:eastAsia="zh-CN"/>
        </w:rPr>
      </w:pPr>
      <w:r>
        <w:rPr>
          <w:rFonts w:hint="eastAsia"/>
          <w:bCs/>
          <w:color w:val="000000"/>
          <w:sz w:val="24"/>
          <w:lang w:eastAsia="zh-CN"/>
        </w:rPr>
        <w:t>侧袋账户资产全部完成变现并终止侧袋机制后，基金管理人应及时聘请符合《中华人民共和国证券法》规定的会计师事务所进行审计并披露专项审计意见。</w:t>
      </w:r>
    </w:p>
    <w:p w14:paraId="4E70715A">
      <w:pPr>
        <w:spacing w:line="360" w:lineRule="auto"/>
        <w:ind w:firstLine="480" w:firstLineChars="200"/>
        <w:rPr>
          <w:bCs/>
          <w:color w:val="000000"/>
          <w:sz w:val="24"/>
          <w:lang w:eastAsia="zh-CN"/>
        </w:rPr>
      </w:pPr>
      <w:r>
        <w:rPr>
          <w:rFonts w:hint="eastAsia"/>
          <w:bCs/>
          <w:color w:val="000000"/>
          <w:sz w:val="24"/>
          <w:lang w:eastAsia="zh-CN"/>
        </w:rPr>
        <w:t>七、侧袋机制的信息披露</w:t>
      </w:r>
    </w:p>
    <w:p w14:paraId="3725E3E6">
      <w:pPr>
        <w:spacing w:line="360" w:lineRule="auto"/>
        <w:ind w:firstLine="480" w:firstLineChars="200"/>
        <w:rPr>
          <w:bCs/>
          <w:color w:val="000000"/>
          <w:sz w:val="24"/>
          <w:lang w:eastAsia="zh-CN"/>
        </w:rPr>
      </w:pPr>
      <w:r>
        <w:rPr>
          <w:rFonts w:hint="eastAsia"/>
          <w:bCs/>
          <w:color w:val="000000"/>
          <w:sz w:val="24"/>
          <w:lang w:eastAsia="zh-CN"/>
        </w:rPr>
        <w:t>1、临时公告</w:t>
      </w:r>
    </w:p>
    <w:p w14:paraId="7391D991">
      <w:pPr>
        <w:spacing w:line="360" w:lineRule="auto"/>
        <w:ind w:firstLine="480" w:firstLineChars="200"/>
        <w:rPr>
          <w:bCs/>
          <w:color w:val="000000"/>
          <w:sz w:val="24"/>
          <w:lang w:eastAsia="zh-CN"/>
        </w:rPr>
      </w:pPr>
      <w:r>
        <w:rPr>
          <w:rFonts w:hint="eastAsia"/>
          <w:bCs/>
          <w:color w:val="000000"/>
          <w:sz w:val="24"/>
          <w:lang w:eastAsia="zh-CN"/>
        </w:rPr>
        <w:t>在启用侧袋机制、处置特定资产、终止侧袋机制以及发生其他可能对投资者利益产生重大影响的事项后基金管理人应及时发布临时公告。</w:t>
      </w:r>
    </w:p>
    <w:p w14:paraId="5AF84BD1">
      <w:pPr>
        <w:spacing w:line="360" w:lineRule="auto"/>
        <w:ind w:firstLine="480" w:firstLineChars="200"/>
        <w:rPr>
          <w:bCs/>
          <w:color w:val="000000"/>
          <w:sz w:val="24"/>
          <w:lang w:eastAsia="zh-CN"/>
        </w:rPr>
      </w:pPr>
      <w:r>
        <w:rPr>
          <w:rFonts w:hint="eastAsia"/>
          <w:bCs/>
          <w:color w:val="000000"/>
          <w:sz w:val="24"/>
          <w:lang w:eastAsia="zh-CN"/>
        </w:rPr>
        <w:t>2、基金净值信息</w:t>
      </w:r>
    </w:p>
    <w:p w14:paraId="308F2A4E">
      <w:pPr>
        <w:spacing w:line="360" w:lineRule="auto"/>
        <w:ind w:firstLine="480" w:firstLineChars="200"/>
        <w:rPr>
          <w:bCs/>
          <w:color w:val="000000"/>
          <w:sz w:val="24"/>
          <w:lang w:eastAsia="zh-CN"/>
        </w:rPr>
      </w:pPr>
      <w:r>
        <w:rPr>
          <w:rFonts w:hint="eastAsia"/>
          <w:bCs/>
          <w:color w:val="000000"/>
          <w:sz w:val="24"/>
          <w:lang w:eastAsia="zh-CN"/>
        </w:rPr>
        <w:t>基金管理人应按照招募说明书“基金的信息披露”部分规定的基金净值信息披露方式和频率披露主袋账户的基金份额净值和基金份额累计净值。实施侧袋机制期间本基金暂停披露侧袋账户份额净值和份额累计净值。</w:t>
      </w:r>
    </w:p>
    <w:p w14:paraId="3C308A61">
      <w:pPr>
        <w:spacing w:line="360" w:lineRule="auto"/>
        <w:ind w:firstLine="480" w:firstLineChars="200"/>
        <w:rPr>
          <w:bCs/>
          <w:color w:val="000000"/>
          <w:sz w:val="24"/>
          <w:lang w:eastAsia="zh-CN"/>
        </w:rPr>
      </w:pPr>
      <w:r>
        <w:rPr>
          <w:rFonts w:hint="eastAsia"/>
          <w:bCs/>
          <w:color w:val="000000"/>
          <w:sz w:val="24"/>
          <w:lang w:eastAsia="zh-CN"/>
        </w:rPr>
        <w:t>3、定期报告</w:t>
      </w:r>
    </w:p>
    <w:p w14:paraId="7F0022D0">
      <w:pPr>
        <w:spacing w:line="360" w:lineRule="auto"/>
        <w:ind w:firstLine="480" w:firstLineChars="200"/>
        <w:rPr>
          <w:bCs/>
          <w:color w:val="000000"/>
          <w:sz w:val="24"/>
          <w:lang w:eastAsia="zh-CN"/>
        </w:rPr>
      </w:pPr>
      <w:r>
        <w:rPr>
          <w:rFonts w:hint="eastAsia"/>
          <w:bCs/>
          <w:color w:val="000000"/>
          <w:sz w:val="24"/>
          <w:lang w:eastAsia="zh-CN"/>
        </w:rPr>
        <w:t>侧袋机制实施期间，基金管理人应当在基金定期报告中披露报告期内侧袋账户相关信息，基金定期报告中的基金会计报表仅需针对主袋账户进行编制。</w:t>
      </w:r>
      <w:bookmarkStart w:id="90" w:name="_Hlk45747214"/>
      <w:r>
        <w:rPr>
          <w:rFonts w:hint="eastAsia"/>
          <w:bCs/>
          <w:color w:val="000000"/>
          <w:sz w:val="24"/>
          <w:lang w:eastAsia="zh-CN"/>
        </w:rPr>
        <w:t>会计师事务所对基金年度报告进行审计时，应对报告期内基金侧袋机制运行相关的会计核算和年度报告披露等发表审计意见。</w:t>
      </w:r>
      <w:bookmarkEnd w:id="90"/>
    </w:p>
    <w:p w14:paraId="46923C77">
      <w:pPr>
        <w:spacing w:line="360" w:lineRule="auto"/>
        <w:ind w:firstLine="480" w:firstLineChars="200"/>
        <w:rPr>
          <w:bCs/>
          <w:color w:val="000000"/>
          <w:sz w:val="24"/>
          <w:lang w:eastAsia="zh-CN"/>
        </w:rPr>
      </w:pPr>
      <w:r>
        <w:rPr>
          <w:rFonts w:hint="eastAsia"/>
          <w:sz w:val="24"/>
          <w:szCs w:val="24"/>
          <w:lang w:eastAsia="zh-CN"/>
        </w:rPr>
        <w:t>八、本部分关于侧袋机制的相关规定，凡是直接引用法律法规的部分，如将来法律法规修改导致相关内容被取消或变更的，基金管理人经与基金托管人协商一致并履行适当程序后，可直接对本部分内容进行修改和调整，无需召开基金份额持有人大会审议。</w:t>
      </w:r>
    </w:p>
    <w:p w14:paraId="0D4513B3">
      <w:pPr>
        <w:rPr>
          <w:lang w:eastAsia="zh-CN" w:bidi="ar-SA"/>
        </w:rPr>
      </w:pPr>
    </w:p>
    <w:p w14:paraId="56142BD5">
      <w:pPr>
        <w:pStyle w:val="2"/>
        <w:keepNext/>
        <w:keepLines/>
        <w:autoSpaceDE/>
        <w:autoSpaceDN/>
        <w:spacing w:before="0" w:line="360" w:lineRule="auto"/>
        <w:ind w:left="0"/>
        <w:jc w:val="center"/>
        <w:rPr>
          <w:rFonts w:ascii="Times New Roman" w:hAnsi="Times New Roman" w:cs="Times New Roman"/>
          <w:b/>
          <w:szCs w:val="20"/>
          <w:lang w:eastAsia="zh-CN" w:bidi="ar-SA"/>
        </w:rPr>
        <w:sectPr>
          <w:pgSz w:w="11910" w:h="16840"/>
          <w:pgMar w:top="1440" w:right="1800" w:bottom="1440" w:left="1800" w:header="873" w:footer="991" w:gutter="0"/>
          <w:cols w:space="720" w:num="1"/>
        </w:sectPr>
      </w:pPr>
    </w:p>
    <w:p w14:paraId="342188F6">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91" w:name="_Toc69831257"/>
      <w:r>
        <w:rPr>
          <w:rFonts w:ascii="Times New Roman" w:hAnsi="Times New Roman" w:cs="Times New Roman"/>
          <w:b/>
          <w:szCs w:val="20"/>
          <w:lang w:eastAsia="zh-CN" w:bidi="ar-SA"/>
        </w:rPr>
        <w:t>第</w:t>
      </w:r>
      <w:r>
        <w:rPr>
          <w:rFonts w:hint="eastAsia" w:ascii="Times New Roman" w:hAnsi="Times New Roman" w:cs="Times New Roman"/>
          <w:b/>
          <w:szCs w:val="20"/>
          <w:lang w:eastAsia="zh-CN" w:bidi="ar-SA"/>
        </w:rPr>
        <w:t>十九</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风险揭示</w:t>
      </w:r>
      <w:bookmarkEnd w:id="91"/>
    </w:p>
    <w:p w14:paraId="16BFEAC9">
      <w:pPr>
        <w:spacing w:line="360" w:lineRule="auto"/>
        <w:ind w:firstLine="480" w:firstLineChars="200"/>
        <w:rPr>
          <w:bCs/>
          <w:color w:val="000000"/>
          <w:sz w:val="24"/>
          <w:lang w:eastAsia="zh-CN"/>
        </w:rPr>
      </w:pPr>
    </w:p>
    <w:p w14:paraId="11D5C678">
      <w:pPr>
        <w:spacing w:line="360" w:lineRule="auto"/>
        <w:ind w:firstLine="480" w:firstLineChars="200"/>
        <w:rPr>
          <w:bCs/>
          <w:color w:val="000000"/>
          <w:sz w:val="24"/>
          <w:lang w:eastAsia="zh-CN"/>
        </w:rPr>
      </w:pPr>
      <w:r>
        <w:rPr>
          <w:bCs/>
          <w:color w:val="000000"/>
          <w:sz w:val="24"/>
          <w:lang w:eastAsia="zh-CN"/>
        </w:rPr>
        <w:t>一</w:t>
      </w:r>
      <w:r>
        <w:rPr>
          <w:rFonts w:hint="eastAsia"/>
          <w:bCs/>
          <w:color w:val="000000"/>
          <w:sz w:val="24"/>
          <w:lang w:eastAsia="zh-CN"/>
        </w:rPr>
        <w:t>、</w:t>
      </w:r>
      <w:r>
        <w:rPr>
          <w:bCs/>
          <w:color w:val="000000"/>
          <w:sz w:val="24"/>
          <w:lang w:eastAsia="zh-CN"/>
        </w:rPr>
        <w:t>本基金的一般风险</w:t>
      </w:r>
    </w:p>
    <w:p w14:paraId="21A85357">
      <w:pPr>
        <w:spacing w:line="360" w:lineRule="auto"/>
        <w:ind w:firstLine="480" w:firstLineChars="200"/>
        <w:rPr>
          <w:bCs/>
          <w:color w:val="000000"/>
          <w:sz w:val="24"/>
          <w:lang w:eastAsia="zh-CN"/>
        </w:rPr>
      </w:pPr>
      <w:r>
        <w:rPr>
          <w:bCs/>
          <w:color w:val="000000"/>
          <w:sz w:val="24"/>
          <w:lang w:eastAsia="zh-CN"/>
        </w:rPr>
        <w:t>1、市场风险</w:t>
      </w:r>
    </w:p>
    <w:p w14:paraId="06C00D3E">
      <w:pPr>
        <w:spacing w:line="360" w:lineRule="auto"/>
        <w:ind w:firstLine="480" w:firstLineChars="200"/>
        <w:rPr>
          <w:bCs/>
          <w:color w:val="000000"/>
          <w:sz w:val="24"/>
          <w:lang w:eastAsia="zh-CN"/>
        </w:rPr>
      </w:pPr>
      <w:r>
        <w:rPr>
          <w:bCs/>
          <w:color w:val="000000"/>
          <w:sz w:val="24"/>
          <w:lang w:eastAsia="zh-CN"/>
        </w:rPr>
        <w:t>本基金投资于证券市场，而证券市场价格因受到经济因素、政治因素、投资者心理和交易制度等各种因素的影响而产生波动，从而导致基金收益水平发生变化，产生风险。主要的风险因素包括但不限于：</w:t>
      </w:r>
    </w:p>
    <w:p w14:paraId="1F3111B9">
      <w:pPr>
        <w:spacing w:line="360" w:lineRule="auto"/>
        <w:ind w:firstLine="480" w:firstLineChars="200"/>
        <w:rPr>
          <w:bCs/>
          <w:color w:val="000000"/>
          <w:sz w:val="24"/>
          <w:lang w:eastAsia="zh-CN"/>
        </w:rPr>
      </w:pPr>
      <w:r>
        <w:rPr>
          <w:rFonts w:hint="eastAsia"/>
          <w:bCs/>
          <w:color w:val="000000"/>
          <w:sz w:val="24"/>
          <w:lang w:eastAsia="zh-CN"/>
        </w:rPr>
        <w:t>（1）</w:t>
      </w:r>
      <w:r>
        <w:rPr>
          <w:bCs/>
          <w:color w:val="000000"/>
          <w:sz w:val="24"/>
          <w:lang w:eastAsia="zh-CN"/>
        </w:rPr>
        <w:t>政策风险</w:t>
      </w:r>
    </w:p>
    <w:p w14:paraId="23C6F9DE">
      <w:pPr>
        <w:spacing w:line="360" w:lineRule="auto"/>
        <w:ind w:firstLine="480" w:firstLineChars="200"/>
        <w:rPr>
          <w:bCs/>
          <w:color w:val="000000"/>
          <w:sz w:val="24"/>
          <w:lang w:eastAsia="zh-CN"/>
        </w:rPr>
      </w:pPr>
      <w:r>
        <w:rPr>
          <w:bCs/>
          <w:color w:val="000000"/>
          <w:sz w:val="24"/>
          <w:lang w:eastAsia="zh-CN"/>
        </w:rPr>
        <w:t>因国家宏观政策（如货币政策、财政政策、产业政策、地区发展政策等）发生变化，导致市场价格波动而产生风险。</w:t>
      </w:r>
    </w:p>
    <w:p w14:paraId="78D901F5">
      <w:pPr>
        <w:spacing w:line="360" w:lineRule="auto"/>
        <w:ind w:firstLine="480" w:firstLineChars="200"/>
        <w:rPr>
          <w:bCs/>
          <w:color w:val="000000"/>
          <w:sz w:val="24"/>
          <w:lang w:eastAsia="zh-CN"/>
        </w:rPr>
      </w:pPr>
      <w:r>
        <w:rPr>
          <w:rFonts w:hint="eastAsia"/>
          <w:bCs/>
          <w:color w:val="000000"/>
          <w:sz w:val="24"/>
          <w:lang w:eastAsia="zh-CN"/>
        </w:rPr>
        <w:t>（2）</w:t>
      </w:r>
      <w:r>
        <w:rPr>
          <w:bCs/>
          <w:color w:val="000000"/>
          <w:sz w:val="24"/>
          <w:lang w:eastAsia="zh-CN"/>
        </w:rPr>
        <w:t>利率风险</w:t>
      </w:r>
    </w:p>
    <w:p w14:paraId="2E011D79">
      <w:pPr>
        <w:spacing w:line="360" w:lineRule="auto"/>
        <w:ind w:firstLine="480" w:firstLineChars="200"/>
        <w:rPr>
          <w:bCs/>
          <w:color w:val="000000"/>
          <w:sz w:val="24"/>
          <w:lang w:eastAsia="zh-CN"/>
        </w:rPr>
      </w:pPr>
      <w:r>
        <w:rPr>
          <w:bCs/>
          <w:color w:val="000000"/>
          <w:sz w:val="24"/>
          <w:lang w:eastAsia="zh-CN"/>
        </w:rPr>
        <w:t>利率风险主要是指因金融市场利率的波动而导致证券市场价格和收益率变动的风险。利率直接影响着债券的价格和收益率，影响着企业的融资成本和利润。本基金为</w:t>
      </w:r>
      <w:r>
        <w:rPr>
          <w:rFonts w:hint="eastAsia"/>
          <w:bCs/>
          <w:color w:val="000000"/>
          <w:sz w:val="24"/>
          <w:lang w:eastAsia="zh-CN"/>
        </w:rPr>
        <w:t>混合型</w:t>
      </w:r>
      <w:r>
        <w:rPr>
          <w:bCs/>
          <w:color w:val="000000"/>
          <w:sz w:val="24"/>
          <w:lang w:eastAsia="zh-CN"/>
        </w:rPr>
        <w:t>基金，</w:t>
      </w:r>
      <w:r>
        <w:rPr>
          <w:rFonts w:hint="eastAsia"/>
          <w:bCs/>
          <w:color w:val="000000"/>
          <w:sz w:val="24"/>
          <w:lang w:eastAsia="zh-CN"/>
        </w:rPr>
        <w:t>可投资于</w:t>
      </w:r>
      <w:r>
        <w:rPr>
          <w:bCs/>
          <w:color w:val="000000"/>
          <w:sz w:val="24"/>
          <w:lang w:eastAsia="zh-CN"/>
        </w:rPr>
        <w:t>债券，其收益水平可能会受到利率变化的影响。</w:t>
      </w:r>
    </w:p>
    <w:p w14:paraId="2EA8401B">
      <w:pPr>
        <w:spacing w:line="360" w:lineRule="auto"/>
        <w:ind w:firstLine="480" w:firstLineChars="200"/>
        <w:rPr>
          <w:bCs/>
          <w:color w:val="000000"/>
          <w:sz w:val="24"/>
          <w:lang w:eastAsia="zh-CN"/>
        </w:rPr>
      </w:pPr>
      <w:r>
        <w:rPr>
          <w:rFonts w:hint="eastAsia"/>
          <w:bCs/>
          <w:color w:val="000000"/>
          <w:sz w:val="24"/>
          <w:lang w:eastAsia="zh-CN"/>
        </w:rPr>
        <w:t>（3）</w:t>
      </w:r>
      <w:r>
        <w:rPr>
          <w:bCs/>
          <w:color w:val="000000"/>
          <w:sz w:val="24"/>
          <w:lang w:eastAsia="zh-CN"/>
        </w:rPr>
        <w:t>再投资风险</w:t>
      </w:r>
    </w:p>
    <w:p w14:paraId="5DD37E28">
      <w:pPr>
        <w:spacing w:line="360" w:lineRule="auto"/>
        <w:ind w:firstLine="480" w:firstLineChars="200"/>
        <w:rPr>
          <w:bCs/>
          <w:color w:val="000000"/>
          <w:sz w:val="24"/>
          <w:lang w:eastAsia="zh-CN"/>
        </w:rPr>
      </w:pPr>
      <w:r>
        <w:rPr>
          <w:bCs/>
          <w:color w:val="000000"/>
          <w:sz w:val="24"/>
          <w:lang w:eastAsia="zh-CN"/>
        </w:rPr>
        <w:t>债券、票据偿付本息后以及回购到期后可能由于市场利率的下降面临资金再投资的收益率低于原来利率，由此本基金面临再投资风险。</w:t>
      </w:r>
    </w:p>
    <w:p w14:paraId="618012C6">
      <w:pPr>
        <w:spacing w:line="360" w:lineRule="auto"/>
        <w:ind w:firstLine="480" w:firstLineChars="200"/>
        <w:rPr>
          <w:bCs/>
          <w:color w:val="000000"/>
          <w:sz w:val="24"/>
          <w:lang w:eastAsia="zh-CN"/>
        </w:rPr>
      </w:pPr>
      <w:r>
        <w:rPr>
          <w:rFonts w:hint="eastAsia"/>
          <w:bCs/>
          <w:color w:val="000000"/>
          <w:sz w:val="24"/>
          <w:lang w:eastAsia="zh-CN"/>
        </w:rPr>
        <w:t>（4）</w:t>
      </w:r>
      <w:r>
        <w:rPr>
          <w:bCs/>
          <w:color w:val="000000"/>
          <w:sz w:val="24"/>
          <w:lang w:eastAsia="zh-CN"/>
        </w:rPr>
        <w:t>购买力风险</w:t>
      </w:r>
    </w:p>
    <w:p w14:paraId="014E4C8F">
      <w:pPr>
        <w:spacing w:line="360" w:lineRule="auto"/>
        <w:ind w:firstLine="480" w:firstLineChars="200"/>
        <w:rPr>
          <w:bCs/>
          <w:color w:val="000000"/>
          <w:sz w:val="24"/>
          <w:lang w:eastAsia="zh-CN"/>
        </w:rPr>
      </w:pPr>
      <w:r>
        <w:rPr>
          <w:bCs/>
          <w:color w:val="000000"/>
          <w:sz w:val="24"/>
          <w:lang w:eastAsia="zh-CN"/>
        </w:rPr>
        <w:t>如果发生通货膨胀，基金投资于证券所获得的收益可能会被通货膨胀抵消，从而影响基金资产的实际收益率。</w:t>
      </w:r>
    </w:p>
    <w:p w14:paraId="4817CC95">
      <w:pPr>
        <w:spacing w:line="360" w:lineRule="auto"/>
        <w:ind w:firstLine="480" w:firstLineChars="200"/>
        <w:rPr>
          <w:bCs/>
          <w:color w:val="000000"/>
          <w:sz w:val="24"/>
          <w:lang w:eastAsia="zh-CN"/>
        </w:rPr>
      </w:pPr>
      <w:r>
        <w:rPr>
          <w:rFonts w:hint="eastAsia"/>
          <w:bCs/>
          <w:color w:val="000000"/>
          <w:sz w:val="24"/>
          <w:lang w:eastAsia="zh-CN"/>
        </w:rPr>
        <w:t>（5）</w:t>
      </w:r>
      <w:r>
        <w:rPr>
          <w:bCs/>
          <w:color w:val="000000"/>
          <w:sz w:val="24"/>
          <w:lang w:eastAsia="zh-CN"/>
        </w:rPr>
        <w:t>信用风险</w:t>
      </w:r>
    </w:p>
    <w:p w14:paraId="4C8F987C">
      <w:pPr>
        <w:spacing w:line="360" w:lineRule="auto"/>
        <w:ind w:firstLine="480" w:firstLineChars="200"/>
        <w:rPr>
          <w:bCs/>
          <w:color w:val="000000"/>
          <w:sz w:val="24"/>
          <w:lang w:eastAsia="zh-CN"/>
        </w:rPr>
      </w:pPr>
      <w:r>
        <w:rPr>
          <w:bCs/>
          <w:color w:val="000000"/>
          <w:sz w:val="24"/>
          <w:lang w:eastAsia="zh-CN"/>
        </w:rPr>
        <w:t>信用风险是指基金财产在交易过程发生交收违约，或者基金财产所投资证券之发行人出现违约、拒绝支付到期本息等，从而导致基金财产损失和收益变化。</w:t>
      </w:r>
    </w:p>
    <w:p w14:paraId="1F65167B">
      <w:pPr>
        <w:spacing w:line="360" w:lineRule="auto"/>
        <w:ind w:firstLine="480" w:firstLineChars="200"/>
        <w:rPr>
          <w:bCs/>
          <w:color w:val="000000"/>
          <w:sz w:val="24"/>
          <w:lang w:eastAsia="zh-CN"/>
        </w:rPr>
      </w:pPr>
      <w:r>
        <w:rPr>
          <w:rFonts w:hint="eastAsia"/>
          <w:bCs/>
          <w:color w:val="000000"/>
          <w:sz w:val="24"/>
          <w:lang w:eastAsia="zh-CN"/>
        </w:rPr>
        <w:t>（</w:t>
      </w:r>
      <w:r>
        <w:rPr>
          <w:bCs/>
          <w:color w:val="000000"/>
          <w:sz w:val="24"/>
          <w:lang w:eastAsia="zh-CN"/>
        </w:rPr>
        <w:t>6</w:t>
      </w:r>
      <w:r>
        <w:rPr>
          <w:rFonts w:hint="eastAsia"/>
          <w:bCs/>
          <w:color w:val="000000"/>
          <w:sz w:val="24"/>
          <w:lang w:eastAsia="zh-CN"/>
        </w:rPr>
        <w:t>）</w:t>
      </w:r>
      <w:r>
        <w:rPr>
          <w:bCs/>
          <w:color w:val="000000"/>
          <w:sz w:val="24"/>
          <w:lang w:eastAsia="zh-CN"/>
        </w:rPr>
        <w:t>经济周期风险</w:t>
      </w:r>
    </w:p>
    <w:p w14:paraId="1B05DF84">
      <w:pPr>
        <w:spacing w:line="360" w:lineRule="auto"/>
        <w:ind w:firstLine="480" w:firstLineChars="200"/>
        <w:rPr>
          <w:bCs/>
          <w:color w:val="000000"/>
          <w:sz w:val="24"/>
          <w:lang w:eastAsia="zh-CN"/>
        </w:rPr>
      </w:pPr>
      <w:r>
        <w:rPr>
          <w:bCs/>
          <w:color w:val="000000"/>
          <w:sz w:val="24"/>
          <w:lang w:eastAsia="zh-CN"/>
        </w:rPr>
        <w:t>随着经济运行的周期性变化，证券市场的收益水平也呈周期性变化，基金投资的收益水平也会随之变化，从而产生风险。</w:t>
      </w:r>
    </w:p>
    <w:p w14:paraId="249BD401">
      <w:pPr>
        <w:spacing w:line="360" w:lineRule="auto"/>
        <w:ind w:firstLine="480" w:firstLineChars="200"/>
        <w:rPr>
          <w:bCs/>
          <w:color w:val="000000"/>
          <w:sz w:val="24"/>
          <w:lang w:eastAsia="zh-CN"/>
        </w:rPr>
      </w:pPr>
      <w:r>
        <w:rPr>
          <w:bCs/>
          <w:color w:val="000000"/>
          <w:sz w:val="24"/>
          <w:lang w:eastAsia="zh-CN"/>
        </w:rPr>
        <w:t>2、基金的流动性风险</w:t>
      </w:r>
    </w:p>
    <w:p w14:paraId="1C726551">
      <w:pPr>
        <w:spacing w:line="360" w:lineRule="auto"/>
        <w:ind w:firstLine="480" w:firstLineChars="200"/>
        <w:rPr>
          <w:bCs/>
          <w:sz w:val="24"/>
          <w:szCs w:val="24"/>
          <w:lang w:eastAsia="zh-CN"/>
        </w:rPr>
      </w:pPr>
      <w:r>
        <w:rPr>
          <w:bCs/>
          <w:sz w:val="24"/>
          <w:szCs w:val="24"/>
          <w:lang w:eastAsia="zh-CN"/>
        </w:rPr>
        <w:t>本基金可投资于</w:t>
      </w:r>
      <w:r>
        <w:rPr>
          <w:rFonts w:hint="eastAsia"/>
          <w:bCs/>
          <w:sz w:val="24"/>
          <w:lang w:eastAsia="zh-CN"/>
        </w:rPr>
        <w:t>国内</w:t>
      </w:r>
      <w:r>
        <w:rPr>
          <w:bCs/>
          <w:sz w:val="24"/>
          <w:szCs w:val="24"/>
          <w:lang w:eastAsia="zh-CN"/>
        </w:rPr>
        <w:t>依法</w:t>
      </w:r>
      <w:r>
        <w:rPr>
          <w:rFonts w:hint="eastAsia"/>
          <w:bCs/>
          <w:sz w:val="24"/>
          <w:szCs w:val="24"/>
          <w:lang w:eastAsia="zh-CN"/>
        </w:rPr>
        <w:t>公开发行的</w:t>
      </w:r>
      <w:r>
        <w:rPr>
          <w:bCs/>
          <w:sz w:val="24"/>
          <w:szCs w:val="24"/>
          <w:lang w:eastAsia="zh-CN"/>
        </w:rPr>
        <w:t>债券、债券回购、银行存款、同业存单、</w:t>
      </w:r>
      <w:r>
        <w:rPr>
          <w:rFonts w:hint="eastAsia"/>
          <w:bCs/>
          <w:sz w:val="24"/>
          <w:szCs w:val="24"/>
          <w:lang w:eastAsia="zh-CN"/>
        </w:rPr>
        <w:t>现金</w:t>
      </w:r>
      <w:r>
        <w:rPr>
          <w:bCs/>
          <w:sz w:val="24"/>
          <w:szCs w:val="24"/>
          <w:lang w:eastAsia="zh-CN"/>
        </w:rPr>
        <w:t>等，</w:t>
      </w:r>
      <w:r>
        <w:rPr>
          <w:rFonts w:hint="eastAsia"/>
          <w:bCs/>
          <w:sz w:val="24"/>
          <w:szCs w:val="24"/>
          <w:lang w:eastAsia="zh-CN"/>
        </w:rPr>
        <w:t>一般情况下，上述资产市场流动性较好</w:t>
      </w:r>
      <w:r>
        <w:rPr>
          <w:bCs/>
          <w:sz w:val="24"/>
          <w:szCs w:val="24"/>
          <w:lang w:eastAsia="zh-CN"/>
        </w:rPr>
        <w:t>。</w:t>
      </w:r>
    </w:p>
    <w:p w14:paraId="76083408">
      <w:pPr>
        <w:spacing w:line="360" w:lineRule="auto"/>
        <w:ind w:firstLine="480" w:firstLineChars="200"/>
        <w:rPr>
          <w:bCs/>
          <w:color w:val="000000"/>
          <w:sz w:val="24"/>
          <w:lang w:eastAsia="zh-CN"/>
        </w:rPr>
      </w:pPr>
      <w:r>
        <w:rPr>
          <w:rFonts w:hint="eastAsia"/>
          <w:bCs/>
          <w:color w:val="000000"/>
          <w:sz w:val="24"/>
          <w:lang w:eastAsia="zh-CN"/>
        </w:rPr>
        <w:t>基金的流动性风险主要表现在两方面：一是基金管理人建仓时或为实现投资收益而进行组合调整时，可能由于特定投资标的流动性相对不足而无法按预期的价格买进或卖出；二是为应付投资者的赎回，基金被迫以不适当的价格卖出债券或其他资产。两者均可能使基金净值受到不利影响。</w:t>
      </w:r>
    </w:p>
    <w:p w14:paraId="51218A4C">
      <w:pPr>
        <w:spacing w:line="360" w:lineRule="auto"/>
        <w:ind w:firstLine="480" w:firstLineChars="200"/>
        <w:rPr>
          <w:bCs/>
          <w:color w:val="000000"/>
          <w:sz w:val="24"/>
          <w:lang w:eastAsia="zh-CN"/>
        </w:rPr>
      </w:pPr>
      <w:r>
        <w:rPr>
          <w:rFonts w:hint="eastAsia"/>
          <w:bCs/>
          <w:color w:val="000000"/>
          <w:sz w:val="24"/>
          <w:lang w:eastAsia="zh-CN"/>
        </w:rPr>
        <w:t>（1）本基金的申购、赎回安排</w:t>
      </w:r>
    </w:p>
    <w:p w14:paraId="5F2D18C6">
      <w:pPr>
        <w:spacing w:line="360" w:lineRule="auto"/>
        <w:ind w:firstLine="480" w:firstLineChars="200"/>
        <w:rPr>
          <w:bCs/>
          <w:sz w:val="24"/>
          <w:lang w:eastAsia="zh-CN"/>
        </w:rPr>
      </w:pPr>
      <w:r>
        <w:rPr>
          <w:rFonts w:hint="eastAsia"/>
          <w:bCs/>
          <w:sz w:val="24"/>
          <w:lang w:eastAsia="zh-CN"/>
        </w:rPr>
        <w:t>投资人具体请参见《基金合同》“第六部分 基金份额的申购与赎回”和本招募说明书“第八部分 基金份额的申购、赎回”，详细了解本基金的申购以及赎回安排。</w:t>
      </w:r>
    </w:p>
    <w:p w14:paraId="28B5C7F6">
      <w:pPr>
        <w:spacing w:line="360" w:lineRule="auto"/>
        <w:ind w:firstLine="480" w:firstLineChars="200"/>
        <w:rPr>
          <w:bCs/>
          <w:sz w:val="24"/>
          <w:lang w:eastAsia="zh-CN"/>
        </w:rPr>
      </w:pPr>
      <w:r>
        <w:rPr>
          <w:rFonts w:hint="eastAsia"/>
          <w:bCs/>
          <w:sz w:val="24"/>
          <w:lang w:eastAsia="zh-CN"/>
        </w:rPr>
        <w:t>在本基金发生流动性风险时，基金管理人可以综合利用备用的流动性风险管理工具以减少或应对基金的流动性风险，投资者可能面临</w:t>
      </w:r>
      <w:r>
        <w:rPr>
          <w:bCs/>
          <w:color w:val="000000"/>
          <w:sz w:val="24"/>
          <w:lang w:eastAsia="zh-CN"/>
        </w:rPr>
        <w:t>暂停接受赎回申请、</w:t>
      </w:r>
      <w:r>
        <w:rPr>
          <w:rFonts w:hint="eastAsia"/>
          <w:bCs/>
          <w:sz w:val="24"/>
          <w:lang w:eastAsia="zh-CN"/>
        </w:rPr>
        <w:t>赎回款项被延缓支付、被收取短期赎回费、基金估值被暂停、基金实施侧袋机制等风险。投资者应该了解自身的流动性偏好，并评估是否与本基金的流动性风险匹配。</w:t>
      </w:r>
    </w:p>
    <w:p w14:paraId="298DB462">
      <w:pPr>
        <w:spacing w:line="360" w:lineRule="auto"/>
        <w:ind w:firstLine="480" w:firstLineChars="200"/>
        <w:rPr>
          <w:color w:val="000000"/>
          <w:lang w:eastAsia="zh-CN"/>
        </w:rPr>
      </w:pPr>
      <w:r>
        <w:rPr>
          <w:rStyle w:val="46"/>
          <w:rFonts w:hint="default"/>
          <w:lang w:eastAsia="zh-CN"/>
        </w:rPr>
        <w:t>（2）拟投资市场、行业及资产的流动性风险评估</w:t>
      </w:r>
    </w:p>
    <w:p w14:paraId="6C85B894">
      <w:pPr>
        <w:spacing w:line="360" w:lineRule="auto"/>
        <w:ind w:firstLine="480" w:firstLineChars="200"/>
        <w:rPr>
          <w:color w:val="000000"/>
          <w:lang w:eastAsia="zh-CN"/>
        </w:rPr>
      </w:pPr>
      <w:r>
        <w:rPr>
          <w:rStyle w:val="46"/>
          <w:rFonts w:hint="default"/>
          <w:lang w:eastAsia="zh-CN"/>
        </w:rPr>
        <w:t>本基金的投资市场主要为证券交易所、全国银行间债券市场等流动性较好的规范型交易场所，主要投资对象为具有良好流动性的金融工具，包括债券、债券回购、银行存款、同业存单、</w:t>
      </w:r>
      <w:r>
        <w:rPr>
          <w:rFonts w:hint="eastAsia"/>
          <w:bCs/>
          <w:sz w:val="24"/>
          <w:szCs w:val="24"/>
          <w:lang w:eastAsia="zh-CN"/>
        </w:rPr>
        <w:t>现金</w:t>
      </w:r>
      <w:r>
        <w:rPr>
          <w:rStyle w:val="46"/>
          <w:rFonts w:hint="default"/>
          <w:lang w:eastAsia="zh-CN"/>
        </w:rPr>
        <w:t>以及法律法规或中国证监会允许基金投资的其他金融工具，同时本基金基于分散投资的原则在行业和个券方面未有高集中度的特征，综合评估在正常市场环境下本基金的流动性风险适中。</w:t>
      </w:r>
    </w:p>
    <w:p w14:paraId="638EC7E2">
      <w:pPr>
        <w:spacing w:line="360" w:lineRule="auto"/>
        <w:ind w:firstLine="480" w:firstLineChars="200"/>
        <w:rPr>
          <w:bCs/>
          <w:color w:val="000000"/>
          <w:sz w:val="24"/>
          <w:lang w:eastAsia="zh-CN"/>
        </w:rPr>
      </w:pPr>
      <w:r>
        <w:rPr>
          <w:rFonts w:hint="eastAsia"/>
          <w:bCs/>
          <w:color w:val="000000"/>
          <w:sz w:val="24"/>
          <w:lang w:eastAsia="zh-CN"/>
        </w:rPr>
        <w:t>（3）</w:t>
      </w:r>
      <w:r>
        <w:rPr>
          <w:bCs/>
          <w:color w:val="000000"/>
          <w:sz w:val="24"/>
          <w:lang w:eastAsia="zh-CN"/>
        </w:rPr>
        <w:t>巨额赎回情形下的流动性风险管理措施</w:t>
      </w:r>
    </w:p>
    <w:p w14:paraId="212555C0">
      <w:pPr>
        <w:spacing w:line="360" w:lineRule="auto"/>
        <w:ind w:firstLine="480" w:firstLineChars="200"/>
        <w:rPr>
          <w:bCs/>
          <w:color w:val="000000"/>
          <w:sz w:val="24"/>
          <w:lang w:eastAsia="zh-CN"/>
        </w:rPr>
      </w:pPr>
      <w:r>
        <w:rPr>
          <w:bCs/>
          <w:color w:val="000000"/>
          <w:sz w:val="24"/>
          <w:lang w:eastAsia="zh-CN"/>
        </w:rPr>
        <w:t>当本基金发生巨额赎回时，基金管理人可以根据基金当时的资产组合状况决定</w:t>
      </w:r>
      <w:r>
        <w:rPr>
          <w:bCs/>
          <w:sz w:val="24"/>
          <w:szCs w:val="24"/>
          <w:lang w:eastAsia="zh-CN"/>
        </w:rPr>
        <w:t>全额赎回、</w:t>
      </w:r>
      <w:r>
        <w:rPr>
          <w:rFonts w:hint="eastAsia"/>
          <w:bCs/>
          <w:sz w:val="24"/>
          <w:szCs w:val="24"/>
          <w:lang w:eastAsia="zh-CN"/>
        </w:rPr>
        <w:t>延期支付赎回款</w:t>
      </w:r>
      <w:r>
        <w:rPr>
          <w:bCs/>
          <w:color w:val="000000"/>
          <w:sz w:val="24"/>
          <w:lang w:eastAsia="zh-CN"/>
        </w:rPr>
        <w:t>。发生</w:t>
      </w:r>
      <w:r>
        <w:rPr>
          <w:rFonts w:hint="eastAsia"/>
          <w:bCs/>
          <w:sz w:val="24"/>
          <w:szCs w:val="24"/>
          <w:lang w:eastAsia="zh-CN"/>
        </w:rPr>
        <w:t>延期支付赎回款</w:t>
      </w:r>
      <w:r>
        <w:rPr>
          <w:bCs/>
          <w:color w:val="000000"/>
          <w:sz w:val="24"/>
          <w:lang w:eastAsia="zh-CN"/>
        </w:rPr>
        <w:t>情形时，投资者面临无法及时获得赎回资金的风险。</w:t>
      </w:r>
    </w:p>
    <w:p w14:paraId="40E703E0">
      <w:pPr>
        <w:spacing w:line="360" w:lineRule="auto"/>
        <w:ind w:firstLine="480" w:firstLineChars="200"/>
        <w:rPr>
          <w:bCs/>
          <w:color w:val="000000"/>
          <w:sz w:val="24"/>
          <w:lang w:eastAsia="zh-CN"/>
        </w:rPr>
      </w:pPr>
      <w:r>
        <w:rPr>
          <w:rFonts w:hint="eastAsia"/>
          <w:bCs/>
          <w:color w:val="000000"/>
          <w:sz w:val="24"/>
          <w:lang w:eastAsia="zh-CN"/>
        </w:rPr>
        <w:t>（4）</w:t>
      </w:r>
      <w:r>
        <w:rPr>
          <w:bCs/>
          <w:color w:val="000000"/>
          <w:sz w:val="24"/>
          <w:lang w:eastAsia="zh-CN"/>
        </w:rPr>
        <w:t>除巨额赎回情形外实施备用的流动性风险管理工具的情形、程序及对投资者的潜在影响</w:t>
      </w:r>
    </w:p>
    <w:p w14:paraId="05149779">
      <w:pPr>
        <w:spacing w:line="360" w:lineRule="auto"/>
        <w:ind w:firstLine="480" w:firstLineChars="200"/>
        <w:rPr>
          <w:bCs/>
          <w:color w:val="000000"/>
          <w:sz w:val="24"/>
          <w:lang w:eastAsia="zh-CN"/>
        </w:rPr>
      </w:pPr>
      <w:r>
        <w:rPr>
          <w:bCs/>
          <w:color w:val="000000"/>
          <w:sz w:val="24"/>
          <w:lang w:eastAsia="zh-CN"/>
        </w:rPr>
        <w:t>除巨额赎回情形外，本基金备用流动性风险管理工具包括暂停接受赎回申请、延缓支付赎回款项、收取短期赎回费、暂停基金估值、摆动定价</w:t>
      </w:r>
      <w:r>
        <w:rPr>
          <w:rFonts w:hint="eastAsia"/>
          <w:bCs/>
          <w:color w:val="000000"/>
          <w:sz w:val="24"/>
          <w:lang w:eastAsia="zh-CN"/>
        </w:rPr>
        <w:t>、实施侧袋机制</w:t>
      </w:r>
      <w:r>
        <w:rPr>
          <w:bCs/>
          <w:color w:val="000000"/>
          <w:sz w:val="24"/>
          <w:lang w:eastAsia="zh-CN"/>
        </w:rPr>
        <w:t>以及</w:t>
      </w:r>
      <w:r>
        <w:rPr>
          <w:rFonts w:hint="eastAsia"/>
          <w:bCs/>
          <w:color w:val="000000"/>
          <w:sz w:val="24"/>
          <w:lang w:eastAsia="zh-CN"/>
        </w:rPr>
        <w:t>中国</w:t>
      </w:r>
      <w:r>
        <w:rPr>
          <w:bCs/>
          <w:color w:val="000000"/>
          <w:sz w:val="24"/>
          <w:lang w:eastAsia="zh-CN"/>
        </w:rPr>
        <w:t>证监会认定的其他措施。</w:t>
      </w:r>
    </w:p>
    <w:p w14:paraId="698A2BAF">
      <w:pPr>
        <w:spacing w:line="360" w:lineRule="auto"/>
        <w:ind w:firstLine="480" w:firstLineChars="200"/>
        <w:rPr>
          <w:bCs/>
          <w:color w:val="000000"/>
          <w:sz w:val="24"/>
          <w:lang w:eastAsia="zh-CN"/>
        </w:rPr>
      </w:pPr>
      <w:r>
        <w:rPr>
          <w:bCs/>
          <w:color w:val="000000"/>
          <w:sz w:val="24"/>
          <w:lang w:eastAsia="zh-CN"/>
        </w:rPr>
        <w:t>暂停接受赎回申请、延缓支付赎回款项等工具的情形、程序见招募说明书“第八部分</w:t>
      </w:r>
      <w:r>
        <w:rPr>
          <w:rFonts w:hint="eastAsia"/>
          <w:bCs/>
          <w:color w:val="000000"/>
          <w:sz w:val="24"/>
          <w:lang w:eastAsia="zh-CN"/>
        </w:rPr>
        <w:t xml:space="preserve">  </w:t>
      </w:r>
      <w:r>
        <w:rPr>
          <w:bCs/>
          <w:color w:val="000000"/>
          <w:sz w:val="24"/>
          <w:lang w:eastAsia="zh-CN"/>
        </w:rPr>
        <w:t>基金份额的申购、赎回”之</w:t>
      </w:r>
      <w:r>
        <w:rPr>
          <w:rFonts w:hint="eastAsia"/>
          <w:bCs/>
          <w:color w:val="000000"/>
          <w:sz w:val="24"/>
          <w:lang w:eastAsia="zh-CN"/>
        </w:rPr>
        <w:t>“</w:t>
      </w:r>
      <w:r>
        <w:rPr>
          <w:bCs/>
          <w:sz w:val="24"/>
          <w:lang w:eastAsia="zh-CN"/>
        </w:rPr>
        <w:t>十</w:t>
      </w:r>
      <w:r>
        <w:rPr>
          <w:rFonts w:hint="eastAsia"/>
          <w:bCs/>
          <w:sz w:val="24"/>
          <w:lang w:eastAsia="zh-CN"/>
        </w:rPr>
        <w:t>、</w:t>
      </w:r>
      <w:r>
        <w:rPr>
          <w:bCs/>
          <w:sz w:val="24"/>
          <w:lang w:eastAsia="zh-CN"/>
        </w:rPr>
        <w:t>巨额赎回的</w:t>
      </w:r>
      <w:r>
        <w:rPr>
          <w:rFonts w:hint="eastAsia"/>
          <w:bCs/>
          <w:sz w:val="24"/>
          <w:lang w:eastAsia="zh-CN"/>
        </w:rPr>
        <w:t>情形</w:t>
      </w:r>
      <w:r>
        <w:rPr>
          <w:bCs/>
          <w:sz w:val="24"/>
          <w:lang w:eastAsia="zh-CN"/>
        </w:rPr>
        <w:t>及处理方式</w:t>
      </w:r>
      <w:r>
        <w:rPr>
          <w:rFonts w:hint="eastAsia"/>
          <w:bCs/>
          <w:color w:val="000000"/>
          <w:sz w:val="24"/>
          <w:lang w:eastAsia="zh-CN"/>
        </w:rPr>
        <w:t>”和</w:t>
      </w:r>
      <w:r>
        <w:rPr>
          <w:bCs/>
          <w:color w:val="000000"/>
          <w:sz w:val="24"/>
          <w:lang w:eastAsia="zh-CN"/>
        </w:rPr>
        <w:t>“十一</w:t>
      </w:r>
      <w:r>
        <w:rPr>
          <w:rFonts w:hint="eastAsia"/>
          <w:bCs/>
          <w:color w:val="000000"/>
          <w:sz w:val="24"/>
          <w:lang w:eastAsia="zh-CN"/>
        </w:rPr>
        <w:t>、</w:t>
      </w:r>
      <w:r>
        <w:rPr>
          <w:bCs/>
          <w:color w:val="000000"/>
          <w:sz w:val="24"/>
          <w:lang w:eastAsia="zh-CN"/>
        </w:rPr>
        <w:t>拒绝或暂停申购、暂停赎回或延缓支付赎回款项的情形及处理”的相关规定。若本基金暂停赎回申请，投资者在暂停赎回期间将无法赎回其持有的基金份额。若本基金延缓支付赎回款项，赎回款可用时间将后延，可能对投资者的资金安排带来不利影响。</w:t>
      </w:r>
    </w:p>
    <w:p w14:paraId="2552CCB5">
      <w:pPr>
        <w:spacing w:line="360" w:lineRule="auto"/>
        <w:ind w:firstLine="480" w:firstLineChars="200"/>
        <w:rPr>
          <w:bCs/>
          <w:color w:val="000000"/>
          <w:sz w:val="24"/>
          <w:lang w:eastAsia="zh-CN"/>
        </w:rPr>
      </w:pPr>
      <w:r>
        <w:rPr>
          <w:bCs/>
          <w:color w:val="000000"/>
          <w:sz w:val="24"/>
          <w:lang w:eastAsia="zh-CN"/>
        </w:rPr>
        <w:t>短期赎回费适用于持续持有期少于</w:t>
      </w:r>
      <w:r>
        <w:rPr>
          <w:rFonts w:hint="eastAsia"/>
          <w:bCs/>
          <w:color w:val="000000"/>
          <w:sz w:val="24"/>
          <w:lang w:eastAsia="zh-CN"/>
        </w:rPr>
        <w:t>7</w:t>
      </w:r>
      <w:r>
        <w:rPr>
          <w:bCs/>
          <w:color w:val="000000"/>
          <w:sz w:val="24"/>
          <w:lang w:eastAsia="zh-CN"/>
        </w:rPr>
        <w:t>日的投资者，费率为1.5%。赎回费由赎回基金份额的基金份额持有人承担，在基金份额持有人赎回基金份额时收取，并全额计入基金财产。短期赎回费的收取将使得投资者在持续持有期限少于</w:t>
      </w:r>
      <w:r>
        <w:rPr>
          <w:rFonts w:hint="eastAsia"/>
          <w:bCs/>
          <w:color w:val="000000"/>
          <w:sz w:val="24"/>
          <w:lang w:eastAsia="zh-CN"/>
        </w:rPr>
        <w:t>7</w:t>
      </w:r>
      <w:r>
        <w:rPr>
          <w:bCs/>
          <w:color w:val="000000"/>
          <w:sz w:val="24"/>
          <w:lang w:eastAsia="zh-CN"/>
        </w:rPr>
        <w:t>日时会承担较高的赎回费。</w:t>
      </w:r>
    </w:p>
    <w:p w14:paraId="4600CE86">
      <w:pPr>
        <w:spacing w:line="360" w:lineRule="auto"/>
        <w:ind w:firstLine="480" w:firstLineChars="200"/>
        <w:rPr>
          <w:bCs/>
          <w:color w:val="000000"/>
          <w:sz w:val="24"/>
          <w:lang w:eastAsia="zh-CN"/>
        </w:rPr>
      </w:pPr>
      <w:r>
        <w:rPr>
          <w:bCs/>
          <w:color w:val="000000"/>
          <w:sz w:val="24"/>
          <w:lang w:eastAsia="zh-CN"/>
        </w:rPr>
        <w:t>暂停基金估值的情形、程序见招募说明书“第十</w:t>
      </w:r>
      <w:r>
        <w:rPr>
          <w:rFonts w:hint="eastAsia"/>
          <w:bCs/>
          <w:color w:val="000000"/>
          <w:sz w:val="24"/>
          <w:lang w:eastAsia="zh-CN"/>
        </w:rPr>
        <w:t>三</w:t>
      </w:r>
      <w:r>
        <w:rPr>
          <w:bCs/>
          <w:color w:val="000000"/>
          <w:sz w:val="24"/>
          <w:lang w:eastAsia="zh-CN"/>
        </w:rPr>
        <w:t>部分</w:t>
      </w:r>
      <w:r>
        <w:rPr>
          <w:rFonts w:hint="eastAsia"/>
          <w:bCs/>
          <w:color w:val="000000"/>
          <w:sz w:val="24"/>
          <w:lang w:eastAsia="zh-CN"/>
        </w:rPr>
        <w:t xml:space="preserve">  </w:t>
      </w:r>
      <w:r>
        <w:rPr>
          <w:bCs/>
          <w:color w:val="000000"/>
          <w:sz w:val="24"/>
          <w:lang w:eastAsia="zh-CN"/>
        </w:rPr>
        <w:t>基金资产的估值”之“</w:t>
      </w:r>
      <w:r>
        <w:rPr>
          <w:rFonts w:hint="eastAsia"/>
          <w:bCs/>
          <w:color w:val="000000"/>
          <w:sz w:val="24"/>
          <w:lang w:eastAsia="zh-CN"/>
        </w:rPr>
        <w:t>七、</w:t>
      </w:r>
      <w:r>
        <w:rPr>
          <w:bCs/>
          <w:color w:val="000000"/>
          <w:sz w:val="24"/>
          <w:lang w:eastAsia="zh-CN"/>
        </w:rPr>
        <w:t>暂停估值的情形”的相关规定。若本基金暂停基金估值，一方面投资者将无法知晓本基金的基金份额净值，另一方面基金将延缓支付赎回款项或暂停接受基金申购</w:t>
      </w:r>
      <w:r>
        <w:rPr>
          <w:rFonts w:hint="eastAsia"/>
          <w:bCs/>
          <w:color w:val="000000"/>
          <w:sz w:val="24"/>
          <w:lang w:eastAsia="zh-CN"/>
        </w:rPr>
        <w:t>、</w:t>
      </w:r>
      <w:r>
        <w:rPr>
          <w:bCs/>
          <w:color w:val="000000"/>
          <w:sz w:val="24"/>
          <w:lang w:eastAsia="zh-CN"/>
        </w:rPr>
        <w:t>赎回申请，延缓支付赎回款项可能影响投资者的资金安排，暂停接受基金申购</w:t>
      </w:r>
      <w:r>
        <w:rPr>
          <w:rFonts w:hint="eastAsia"/>
          <w:bCs/>
          <w:color w:val="000000"/>
          <w:sz w:val="24"/>
          <w:lang w:eastAsia="zh-CN"/>
        </w:rPr>
        <w:t>、</w:t>
      </w:r>
      <w:r>
        <w:rPr>
          <w:bCs/>
          <w:color w:val="000000"/>
          <w:sz w:val="24"/>
          <w:lang w:eastAsia="zh-CN"/>
        </w:rPr>
        <w:t>赎回申请将导致投资者无法申购或赎回本基金。</w:t>
      </w:r>
    </w:p>
    <w:p w14:paraId="189BD2C7">
      <w:pPr>
        <w:spacing w:line="360" w:lineRule="auto"/>
        <w:ind w:firstLine="480" w:firstLineChars="200"/>
        <w:rPr>
          <w:bCs/>
          <w:color w:val="000000"/>
          <w:sz w:val="24"/>
          <w:lang w:eastAsia="zh-CN"/>
        </w:rPr>
      </w:pPr>
      <w:r>
        <w:rPr>
          <w:bCs/>
          <w:color w:val="000000"/>
          <w:sz w:val="24"/>
          <w:lang w:eastAsia="zh-CN"/>
        </w:rPr>
        <w:t>采用摆动定价机制的情形、程序见招募说明书“</w:t>
      </w:r>
      <w:r>
        <w:rPr>
          <w:rFonts w:hint="eastAsia"/>
          <w:bCs/>
          <w:color w:val="000000"/>
          <w:sz w:val="24"/>
          <w:lang w:eastAsia="zh-CN"/>
        </w:rPr>
        <w:t>第</w:t>
      </w:r>
      <w:r>
        <w:rPr>
          <w:bCs/>
          <w:color w:val="000000"/>
          <w:sz w:val="24"/>
          <w:lang w:eastAsia="zh-CN"/>
        </w:rPr>
        <w:t>十</w:t>
      </w:r>
      <w:r>
        <w:rPr>
          <w:rFonts w:hint="eastAsia"/>
          <w:bCs/>
          <w:color w:val="000000"/>
          <w:sz w:val="24"/>
          <w:lang w:eastAsia="zh-CN"/>
        </w:rPr>
        <w:t>三</w:t>
      </w:r>
      <w:r>
        <w:rPr>
          <w:bCs/>
          <w:color w:val="000000"/>
          <w:sz w:val="24"/>
          <w:lang w:eastAsia="zh-CN"/>
        </w:rPr>
        <w:t>部分</w:t>
      </w:r>
      <w:r>
        <w:rPr>
          <w:rFonts w:hint="eastAsia"/>
          <w:bCs/>
          <w:color w:val="000000"/>
          <w:sz w:val="24"/>
          <w:lang w:eastAsia="zh-CN"/>
        </w:rPr>
        <w:t xml:space="preserve">  </w:t>
      </w:r>
      <w:r>
        <w:rPr>
          <w:bCs/>
          <w:color w:val="000000"/>
          <w:sz w:val="24"/>
          <w:lang w:eastAsia="zh-CN"/>
        </w:rPr>
        <w:t>基金资产的估值”之“</w:t>
      </w:r>
      <w:r>
        <w:rPr>
          <w:rFonts w:hint="eastAsia"/>
          <w:bCs/>
          <w:color w:val="000000"/>
          <w:sz w:val="24"/>
          <w:lang w:eastAsia="zh-CN"/>
        </w:rPr>
        <w:t>四、</w:t>
      </w:r>
      <w:r>
        <w:rPr>
          <w:bCs/>
          <w:color w:val="000000"/>
          <w:sz w:val="24"/>
          <w:lang w:eastAsia="zh-CN"/>
        </w:rPr>
        <w:t>估值方法”的相关规定。若本基金采取摆动定价机制，投资者申购基金获得的申购份额及赎回基金获得的赎回金额均可能受到不利影响。</w:t>
      </w:r>
    </w:p>
    <w:p w14:paraId="3E0488B0">
      <w:pPr>
        <w:spacing w:line="360" w:lineRule="auto"/>
        <w:ind w:firstLine="480" w:firstLineChars="200"/>
        <w:rPr>
          <w:bCs/>
          <w:color w:val="000000"/>
          <w:sz w:val="24"/>
          <w:lang w:eastAsia="zh-CN"/>
        </w:rPr>
      </w:pPr>
      <w:r>
        <w:rPr>
          <w:rFonts w:hint="eastAsia"/>
          <w:bCs/>
          <w:color w:val="000000"/>
          <w:sz w:val="24"/>
          <w:lang w:eastAsia="zh-CN"/>
        </w:rPr>
        <w:t>实施侧袋机制的情形、程序见招募说明书“侧袋机制”章节的相关内容。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仅主袋账户份额正常开放赎回，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14:paraId="7FCC059A">
      <w:pPr>
        <w:spacing w:line="360" w:lineRule="auto"/>
        <w:ind w:firstLine="480" w:firstLineChars="200"/>
        <w:rPr>
          <w:bCs/>
          <w:color w:val="000000"/>
          <w:sz w:val="24"/>
          <w:lang w:eastAsia="zh-CN"/>
        </w:rPr>
      </w:pPr>
      <w:r>
        <w:rPr>
          <w:rFonts w:hint="eastAsia"/>
          <w:bCs/>
          <w:color w:val="000000"/>
          <w:sz w:val="24"/>
          <w:lang w:eastAsia="zh-CN"/>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0A1D9E5A">
      <w:pPr>
        <w:spacing w:line="360" w:lineRule="auto"/>
        <w:ind w:firstLine="480" w:firstLineChars="200"/>
        <w:rPr>
          <w:bCs/>
          <w:color w:val="000000"/>
          <w:sz w:val="24"/>
          <w:lang w:eastAsia="zh-CN"/>
        </w:rPr>
      </w:pPr>
      <w:r>
        <w:rPr>
          <w:rFonts w:hint="eastAsia"/>
          <w:bCs/>
          <w:color w:val="000000"/>
          <w:sz w:val="24"/>
          <w:lang w:eastAsia="zh-CN"/>
        </w:rPr>
        <w:t>基金管理人将根据主袋账户运作情况合理确定申购政策</w:t>
      </w:r>
      <w:r>
        <w:rPr>
          <w:bCs/>
          <w:color w:val="000000"/>
          <w:sz w:val="24"/>
          <w:lang w:eastAsia="zh-CN"/>
        </w:rPr>
        <w:t>，因此实施侧袋机制后主袋账户份额存在暂停申购的可能。</w:t>
      </w:r>
    </w:p>
    <w:p w14:paraId="534FB9B0">
      <w:pPr>
        <w:spacing w:line="360" w:lineRule="auto"/>
        <w:ind w:firstLine="480" w:firstLineChars="200"/>
        <w:rPr>
          <w:bCs/>
          <w:color w:val="000000"/>
          <w:sz w:val="24"/>
          <w:lang w:eastAsia="zh-CN"/>
        </w:rPr>
      </w:pPr>
      <w:r>
        <w:rPr>
          <w:rFonts w:hint="eastAsia"/>
          <w:bCs/>
          <w:color w:val="000000"/>
          <w:sz w:val="24"/>
          <w:lang w:eastAsia="zh-CN"/>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14:paraId="665BB6FA">
      <w:pPr>
        <w:spacing w:line="360" w:lineRule="auto"/>
        <w:ind w:firstLine="480" w:firstLineChars="200"/>
        <w:rPr>
          <w:bCs/>
          <w:color w:val="000000"/>
          <w:sz w:val="24"/>
          <w:lang w:eastAsia="zh-CN"/>
        </w:rPr>
      </w:pPr>
      <w:r>
        <w:rPr>
          <w:bCs/>
          <w:color w:val="000000"/>
          <w:sz w:val="24"/>
          <w:lang w:eastAsia="zh-CN"/>
        </w:rPr>
        <w:t>3、管理风险</w:t>
      </w:r>
    </w:p>
    <w:p w14:paraId="3FE09A4C">
      <w:pPr>
        <w:spacing w:line="360" w:lineRule="auto"/>
        <w:ind w:firstLine="480" w:firstLineChars="200"/>
        <w:rPr>
          <w:bCs/>
          <w:color w:val="000000"/>
          <w:sz w:val="24"/>
          <w:lang w:eastAsia="zh-CN"/>
        </w:rPr>
      </w:pPr>
      <w:r>
        <w:rPr>
          <w:bCs/>
          <w:color w:val="000000"/>
          <w:sz w:val="24"/>
          <w:lang w:eastAsia="zh-CN"/>
        </w:rPr>
        <w:t>在基金管理运作过程中，基金管理人的知识、经验、判断、决策、技能等，会影响其对信息的占有以及对经济形势、证券价格走势的判断，从而影响基金收益水平。</w:t>
      </w:r>
    </w:p>
    <w:p w14:paraId="5DFD9B1C">
      <w:pPr>
        <w:spacing w:line="360" w:lineRule="auto"/>
        <w:ind w:firstLine="480" w:firstLineChars="200"/>
        <w:rPr>
          <w:bCs/>
          <w:color w:val="000000"/>
          <w:sz w:val="24"/>
          <w:lang w:eastAsia="zh-CN"/>
        </w:rPr>
      </w:pPr>
      <w:r>
        <w:rPr>
          <w:bCs/>
          <w:color w:val="000000"/>
          <w:sz w:val="24"/>
          <w:lang w:eastAsia="zh-CN"/>
        </w:rPr>
        <w:t>基金管理人的管理手段和管理技术等因素的变化也会影响基金收益水平。</w:t>
      </w:r>
    </w:p>
    <w:p w14:paraId="72FA33E8">
      <w:pPr>
        <w:spacing w:line="360" w:lineRule="auto"/>
        <w:ind w:firstLine="480" w:firstLineChars="200"/>
        <w:rPr>
          <w:bCs/>
          <w:color w:val="000000"/>
          <w:sz w:val="24"/>
          <w:lang w:eastAsia="zh-CN"/>
        </w:rPr>
      </w:pPr>
      <w:r>
        <w:rPr>
          <w:bCs/>
          <w:color w:val="000000"/>
          <w:sz w:val="24"/>
          <w:lang w:eastAsia="zh-CN"/>
        </w:rPr>
        <w:t>4、税收风险</w:t>
      </w:r>
    </w:p>
    <w:p w14:paraId="5D46CC0E">
      <w:pPr>
        <w:spacing w:line="360" w:lineRule="auto"/>
        <w:ind w:firstLine="480" w:firstLineChars="200"/>
        <w:rPr>
          <w:bCs/>
          <w:color w:val="000000"/>
          <w:sz w:val="24"/>
          <w:lang w:eastAsia="zh-CN"/>
        </w:rPr>
      </w:pPr>
      <w:r>
        <w:rPr>
          <w:bCs/>
          <w:color w:val="000000"/>
          <w:sz w:val="24"/>
          <w:lang w:eastAsia="zh-CN"/>
        </w:rPr>
        <w:t>在本基金存续期间，税收征管部门可能会对增值税等应税行为的认定以及适用的税率等进行调整。届时，基金管理人将执行更新后的政策，可能会因此导致基金资产实际承担的税费发生变化。该等情况下，基金管理人有权根据法律法规及税收政策的变化相应调整税收处理，该等调整可能会影响到基金投资者的收益，也可能导致基金财产的估值调整。由于前述税收政策变化导致对基金资产的收益影响，将由持有该基金的基金投资者承担。对于现有税收政策未明确事项，本基金主要参照行业协会建议方案进行处理，可能会与税收征管认定存在差异，从而产生税费补缴及滞纳金，该等税费及滞纳金将由基金财产承担。</w:t>
      </w:r>
    </w:p>
    <w:p w14:paraId="35AC627C">
      <w:pPr>
        <w:spacing w:line="360" w:lineRule="auto"/>
        <w:ind w:firstLine="480" w:firstLineChars="200"/>
        <w:rPr>
          <w:bCs/>
          <w:color w:val="000000"/>
          <w:sz w:val="24"/>
          <w:lang w:eastAsia="zh-CN"/>
        </w:rPr>
      </w:pPr>
      <w:r>
        <w:rPr>
          <w:bCs/>
          <w:color w:val="000000"/>
          <w:sz w:val="24"/>
          <w:lang w:eastAsia="zh-CN"/>
        </w:rPr>
        <w:t>二</w:t>
      </w:r>
      <w:r>
        <w:rPr>
          <w:rFonts w:hint="eastAsia"/>
          <w:bCs/>
          <w:color w:val="000000"/>
          <w:sz w:val="24"/>
          <w:lang w:eastAsia="zh-CN"/>
        </w:rPr>
        <w:t>、</w:t>
      </w:r>
      <w:r>
        <w:rPr>
          <w:bCs/>
          <w:color w:val="000000"/>
          <w:sz w:val="24"/>
          <w:lang w:eastAsia="zh-CN"/>
        </w:rPr>
        <w:t>基金的特有风险</w:t>
      </w:r>
    </w:p>
    <w:p w14:paraId="2F1B9AE3">
      <w:pPr>
        <w:spacing w:line="360" w:lineRule="auto"/>
        <w:ind w:firstLine="480" w:firstLineChars="200"/>
        <w:rPr>
          <w:color w:val="000000"/>
          <w:lang w:eastAsia="zh-CN"/>
        </w:rPr>
      </w:pPr>
      <w:r>
        <w:rPr>
          <w:rFonts w:hint="eastAsia"/>
          <w:bCs/>
          <w:color w:val="000000"/>
          <w:sz w:val="24"/>
          <w:lang w:eastAsia="zh-CN"/>
        </w:rPr>
        <w:t>1、本基金为债券型证券投资基金，</w:t>
      </w:r>
      <w:r>
        <w:rPr>
          <w:rStyle w:val="46"/>
          <w:rFonts w:hint="default"/>
          <w:lang w:eastAsia="zh-CN"/>
        </w:rPr>
        <w:t>除开放期前10个工作日、开放期及开放期结束后10个工作日以外，本基金对债券的投资比例不低于基金资产的80</w:t>
      </w:r>
      <w:r>
        <w:rPr>
          <w:rFonts w:hint="eastAsia"/>
          <w:bCs/>
          <w:color w:val="000000"/>
          <w:sz w:val="24"/>
          <w:lang w:eastAsia="zh-CN"/>
        </w:rPr>
        <w:t>%。本基金无法完全规避发债主体的信用质量变化造成的信用风险。同时，</w:t>
      </w:r>
      <w:r>
        <w:rPr>
          <w:rStyle w:val="46"/>
          <w:rFonts w:hint="default"/>
          <w:lang w:eastAsia="zh-CN"/>
        </w:rPr>
        <w:t>本基金需要承担由于市场利率波动造成的利率风险。本基金管理人将发挥专业研究优势，加强对市场和债券类产品的深入研究，持续优化组合配置，以控制特定风险。</w:t>
      </w:r>
    </w:p>
    <w:p w14:paraId="64F93E4F">
      <w:pPr>
        <w:spacing w:line="360" w:lineRule="auto"/>
        <w:ind w:firstLine="480" w:firstLineChars="200"/>
        <w:rPr>
          <w:color w:val="000000"/>
          <w:lang w:eastAsia="zh-CN"/>
        </w:rPr>
      </w:pPr>
      <w:r>
        <w:rPr>
          <w:rStyle w:val="46"/>
          <w:rFonts w:hint="default"/>
          <w:lang w:eastAsia="zh-CN"/>
        </w:rPr>
        <w:t>2、本基金以定期开放的方式进行运作，封闭期长度为3个月，封闭期间不办理申购与赎回业务；在某个封闭期结束和下一封闭期开始之间设置开放期，受理本基金的申购、赎回等申请，开放期的时长不少于1个工作日，不超过20个工作日。因此，在封闭期期内，基金份额持有人将面临不能赎回基金份额而出现的流动性约束。</w:t>
      </w:r>
    </w:p>
    <w:p w14:paraId="1C8F271F">
      <w:pPr>
        <w:spacing w:line="360" w:lineRule="auto"/>
        <w:ind w:firstLine="480" w:firstLineChars="200"/>
        <w:rPr>
          <w:rStyle w:val="46"/>
          <w:rFonts w:hint="default"/>
          <w:lang w:eastAsia="zh-CN"/>
        </w:rPr>
      </w:pPr>
      <w:r>
        <w:rPr>
          <w:rStyle w:val="46"/>
          <w:rFonts w:hint="default"/>
          <w:lang w:eastAsia="zh-CN"/>
        </w:rPr>
        <w:t>3、若本基金在开放期发生了巨额赎回，基金管理人有可能采取延缓支付赎回款项的措施以应对巨额赎回，因此在巨额赎回情形发生时，基金份额持有人存在不能及时收到赎回款项的风险。</w:t>
      </w:r>
    </w:p>
    <w:p w14:paraId="1009BB6F">
      <w:pPr>
        <w:spacing w:line="360" w:lineRule="auto"/>
        <w:ind w:firstLine="480" w:firstLineChars="200"/>
        <w:rPr>
          <w:bCs/>
          <w:color w:val="000000"/>
          <w:sz w:val="24"/>
          <w:lang w:eastAsia="zh-CN"/>
        </w:rPr>
      </w:pPr>
      <w:r>
        <w:rPr>
          <w:bCs/>
          <w:color w:val="000000"/>
          <w:sz w:val="24"/>
          <w:lang w:eastAsia="zh-CN"/>
        </w:rPr>
        <w:t>4、基金无法继续存续的风险</w:t>
      </w:r>
    </w:p>
    <w:p w14:paraId="19A82D45">
      <w:pPr>
        <w:spacing w:line="360" w:lineRule="auto"/>
        <w:ind w:firstLine="480" w:firstLineChars="200"/>
        <w:rPr>
          <w:bCs/>
          <w:color w:val="000000"/>
          <w:sz w:val="24"/>
          <w:lang w:eastAsia="zh-CN"/>
        </w:rPr>
      </w:pPr>
      <w:r>
        <w:rPr>
          <w:rFonts w:hint="eastAsia"/>
          <w:bCs/>
          <w:color w:val="000000"/>
          <w:sz w:val="24"/>
          <w:lang w:eastAsia="zh-CN"/>
        </w:rPr>
        <w:t>《基金合同》生效后，连续</w:t>
      </w:r>
      <w:r>
        <w:rPr>
          <w:bCs/>
          <w:color w:val="000000"/>
          <w:sz w:val="24"/>
          <w:lang w:eastAsia="zh-CN"/>
        </w:rPr>
        <w:t>20个工作日出现基金份额持有人数量不满200</w:t>
      </w:r>
      <w:r>
        <w:rPr>
          <w:rFonts w:hint="eastAsia"/>
          <w:bCs/>
          <w:color w:val="000000"/>
          <w:sz w:val="24"/>
          <w:lang w:eastAsia="zh-CN"/>
        </w:rPr>
        <w:t>人或者基金资产净值低于</w:t>
      </w:r>
      <w:r>
        <w:rPr>
          <w:bCs/>
          <w:color w:val="000000"/>
          <w:sz w:val="24"/>
          <w:lang w:eastAsia="zh-CN"/>
        </w:rPr>
        <w:t>5000万元情形的，基金管理人应当在定期报告中予以</w:t>
      </w:r>
      <w:r>
        <w:rPr>
          <w:rFonts w:hint="eastAsia"/>
          <w:bCs/>
          <w:color w:val="000000"/>
          <w:sz w:val="24"/>
          <w:lang w:eastAsia="zh-CN"/>
        </w:rPr>
        <w:t>披露；</w:t>
      </w:r>
    </w:p>
    <w:p w14:paraId="4521AD26">
      <w:pPr>
        <w:spacing w:line="360" w:lineRule="auto"/>
        <w:ind w:firstLine="480" w:firstLineChars="200"/>
        <w:rPr>
          <w:bCs/>
          <w:color w:val="000000"/>
          <w:sz w:val="24"/>
          <w:lang w:eastAsia="zh-CN"/>
        </w:rPr>
      </w:pPr>
      <w:r>
        <w:rPr>
          <w:rFonts w:hint="eastAsia"/>
          <w:bCs/>
          <w:color w:val="000000"/>
          <w:sz w:val="24"/>
          <w:lang w:eastAsia="zh-CN"/>
        </w:rPr>
        <w:t>《基金合同》生效后的存续期内，发生以下任何一种情形时，将进行基金财产清算并终止基金合同，且无需召开基金份额持有人大会，同时基金管理人应履行相关的监管报告和信息披露程序：</w:t>
      </w:r>
    </w:p>
    <w:p w14:paraId="56E7BC8A">
      <w:pPr>
        <w:spacing w:line="360" w:lineRule="auto"/>
        <w:ind w:firstLine="480" w:firstLineChars="200"/>
        <w:rPr>
          <w:bCs/>
          <w:color w:val="000000"/>
          <w:sz w:val="24"/>
          <w:lang w:eastAsia="zh-CN"/>
        </w:rPr>
      </w:pPr>
      <w:r>
        <w:rPr>
          <w:rFonts w:hint="eastAsia"/>
          <w:bCs/>
          <w:color w:val="000000"/>
          <w:sz w:val="24"/>
          <w:lang w:eastAsia="zh-CN"/>
        </w:rPr>
        <w:t>（</w:t>
      </w:r>
      <w:r>
        <w:rPr>
          <w:bCs/>
          <w:color w:val="000000"/>
          <w:sz w:val="24"/>
          <w:lang w:eastAsia="zh-CN"/>
        </w:rPr>
        <w:t>1）某个开放期届满后，本基金的基金份额持有人数量不满200人的；</w:t>
      </w:r>
    </w:p>
    <w:p w14:paraId="55711B52">
      <w:pPr>
        <w:spacing w:line="360" w:lineRule="auto"/>
        <w:ind w:firstLine="480" w:firstLineChars="200"/>
        <w:rPr>
          <w:bCs/>
          <w:color w:val="000000"/>
          <w:sz w:val="24"/>
          <w:lang w:eastAsia="zh-CN"/>
        </w:rPr>
      </w:pPr>
      <w:r>
        <w:rPr>
          <w:rFonts w:hint="eastAsia"/>
          <w:bCs/>
          <w:color w:val="000000"/>
          <w:sz w:val="24"/>
          <w:lang w:eastAsia="zh-CN"/>
        </w:rPr>
        <w:t>（</w:t>
      </w:r>
      <w:r>
        <w:rPr>
          <w:bCs/>
          <w:color w:val="000000"/>
          <w:sz w:val="24"/>
          <w:lang w:eastAsia="zh-CN"/>
        </w:rPr>
        <w:t>2）某个开放期届满后，本基金的基金资产净值低于5000万元的。故存</w:t>
      </w:r>
      <w:r>
        <w:rPr>
          <w:rFonts w:hint="eastAsia"/>
          <w:bCs/>
          <w:color w:val="000000"/>
          <w:sz w:val="24"/>
          <w:lang w:eastAsia="zh-CN"/>
        </w:rPr>
        <w:t>在着基金无法继续存续的风险。</w:t>
      </w:r>
    </w:p>
    <w:p w14:paraId="2D0D5E81">
      <w:pPr>
        <w:spacing w:line="360" w:lineRule="auto"/>
        <w:ind w:firstLine="480" w:firstLineChars="200"/>
        <w:rPr>
          <w:bCs/>
          <w:color w:val="000000"/>
          <w:sz w:val="24"/>
          <w:lang w:eastAsia="zh-CN"/>
        </w:rPr>
      </w:pPr>
      <w:r>
        <w:rPr>
          <w:bCs/>
          <w:color w:val="000000"/>
          <w:sz w:val="24"/>
          <w:lang w:eastAsia="zh-CN"/>
        </w:rPr>
        <w:t>三</w:t>
      </w:r>
      <w:r>
        <w:rPr>
          <w:rFonts w:hint="eastAsia"/>
          <w:bCs/>
          <w:color w:val="000000"/>
          <w:sz w:val="24"/>
          <w:lang w:eastAsia="zh-CN"/>
        </w:rPr>
        <w:t>、</w:t>
      </w:r>
      <w:r>
        <w:rPr>
          <w:bCs/>
          <w:color w:val="000000"/>
          <w:sz w:val="24"/>
          <w:lang w:eastAsia="zh-CN"/>
        </w:rPr>
        <w:t>其他风险</w:t>
      </w:r>
    </w:p>
    <w:p w14:paraId="720208D4">
      <w:pPr>
        <w:spacing w:line="360" w:lineRule="auto"/>
        <w:ind w:firstLine="480" w:firstLineChars="200"/>
        <w:rPr>
          <w:bCs/>
          <w:color w:val="000000"/>
          <w:sz w:val="24"/>
          <w:lang w:eastAsia="zh-CN"/>
        </w:rPr>
      </w:pPr>
      <w:r>
        <w:rPr>
          <w:bCs/>
          <w:color w:val="000000"/>
          <w:sz w:val="24"/>
          <w:lang w:eastAsia="zh-CN"/>
        </w:rPr>
        <w:t>1、因技术因素而产生的风险，如电脑等技术系统的故障或差错产生的风险。</w:t>
      </w:r>
    </w:p>
    <w:p w14:paraId="14493784">
      <w:pPr>
        <w:spacing w:line="360" w:lineRule="auto"/>
        <w:ind w:firstLine="480" w:firstLineChars="200"/>
        <w:rPr>
          <w:bCs/>
          <w:color w:val="000000"/>
          <w:sz w:val="24"/>
          <w:lang w:eastAsia="zh-CN"/>
        </w:rPr>
      </w:pPr>
      <w:r>
        <w:rPr>
          <w:bCs/>
          <w:color w:val="000000"/>
          <w:sz w:val="24"/>
          <w:lang w:eastAsia="zh-CN"/>
        </w:rPr>
        <w:t>2、因战争、自然灾害等不可抗力导致的基金管理人、基金托管人、基金服务机构等机构无法正常工作，从而影响基金运作的风险。</w:t>
      </w:r>
    </w:p>
    <w:p w14:paraId="7F906B29">
      <w:pPr>
        <w:spacing w:line="360" w:lineRule="auto"/>
        <w:ind w:firstLine="480" w:firstLineChars="200"/>
        <w:rPr>
          <w:bCs/>
          <w:color w:val="000000"/>
          <w:sz w:val="24"/>
          <w:lang w:eastAsia="zh-CN"/>
        </w:rPr>
      </w:pPr>
      <w:r>
        <w:rPr>
          <w:bCs/>
          <w:color w:val="000000"/>
          <w:sz w:val="24"/>
          <w:lang w:eastAsia="zh-CN"/>
        </w:rPr>
        <w:t>3、因金融市场危机、代理商违约、基金托管人违约等超出基金管理人自身控制能力的因素出现，可能导致基金或者基金份额持有人利益受损的风险。</w:t>
      </w:r>
    </w:p>
    <w:p w14:paraId="6DF645B7">
      <w:pPr>
        <w:spacing w:line="360" w:lineRule="auto"/>
        <w:ind w:firstLine="480" w:firstLineChars="200"/>
        <w:rPr>
          <w:bCs/>
          <w:color w:val="000000"/>
          <w:sz w:val="24"/>
          <w:lang w:eastAsia="zh-CN"/>
        </w:rPr>
      </w:pPr>
      <w:r>
        <w:rPr>
          <w:bCs/>
          <w:color w:val="000000"/>
          <w:sz w:val="24"/>
          <w:lang w:eastAsia="zh-CN"/>
        </w:rPr>
        <w:t>4、因固定收益类金融工具主要在场外市场进行交易，场外市场交易现阶段自动化程度较场内市场低，本基金在投资运作过程中可能面临操作风险。</w:t>
      </w:r>
    </w:p>
    <w:p w14:paraId="49845F55">
      <w:pPr>
        <w:spacing w:line="360" w:lineRule="auto"/>
        <w:ind w:firstLine="480" w:firstLineChars="200"/>
        <w:rPr>
          <w:bCs/>
          <w:color w:val="000000"/>
          <w:sz w:val="24"/>
          <w:lang w:eastAsia="zh-CN"/>
        </w:rPr>
      </w:pPr>
      <w:r>
        <w:rPr>
          <w:bCs/>
          <w:color w:val="000000"/>
          <w:sz w:val="24"/>
          <w:lang w:eastAsia="zh-CN"/>
        </w:rPr>
        <w:t>5、其他意外导致的风险。</w:t>
      </w:r>
    </w:p>
    <w:p w14:paraId="5D7EF650">
      <w:pPr>
        <w:spacing w:line="360" w:lineRule="auto"/>
        <w:ind w:firstLine="480" w:firstLineChars="200"/>
        <w:rPr>
          <w:bCs/>
          <w:color w:val="000000"/>
          <w:sz w:val="24"/>
          <w:lang w:eastAsia="zh-CN"/>
        </w:rPr>
      </w:pPr>
    </w:p>
    <w:p w14:paraId="2519C976">
      <w:pPr>
        <w:spacing w:line="268" w:lineRule="exact"/>
        <w:rPr>
          <w:lang w:eastAsia="zh-CN"/>
        </w:rPr>
        <w:sectPr>
          <w:pgSz w:w="11910" w:h="16840"/>
          <w:pgMar w:top="1440" w:right="1800" w:bottom="1440" w:left="1800" w:header="873" w:footer="991" w:gutter="0"/>
          <w:cols w:space="720" w:num="1"/>
        </w:sectPr>
      </w:pPr>
    </w:p>
    <w:p w14:paraId="037C6BBB">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92" w:name="_bookmark19"/>
      <w:bookmarkEnd w:id="92"/>
      <w:bookmarkStart w:id="93" w:name="_Toc69831258"/>
      <w:r>
        <w:rPr>
          <w:rFonts w:ascii="Times New Roman" w:hAnsi="Times New Roman" w:cs="Times New Roman"/>
          <w:b/>
          <w:szCs w:val="20"/>
          <w:lang w:eastAsia="zh-CN" w:bidi="ar-SA"/>
        </w:rPr>
        <w:t>第</w:t>
      </w:r>
      <w:r>
        <w:rPr>
          <w:rFonts w:hint="eastAsia" w:ascii="Times New Roman" w:hAnsi="Times New Roman" w:cs="Times New Roman"/>
          <w:b/>
          <w:szCs w:val="20"/>
          <w:lang w:eastAsia="zh-CN" w:bidi="ar-SA"/>
        </w:rPr>
        <w:t>二十</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基金合同的变更、终止与基金财产的清算</w:t>
      </w:r>
      <w:bookmarkEnd w:id="93"/>
    </w:p>
    <w:p w14:paraId="57EBE3A1">
      <w:pPr>
        <w:spacing w:line="360" w:lineRule="auto"/>
        <w:ind w:firstLine="480" w:firstLineChars="200"/>
        <w:rPr>
          <w:bCs/>
          <w:color w:val="000000"/>
          <w:sz w:val="24"/>
          <w:lang w:eastAsia="zh-CN"/>
        </w:rPr>
      </w:pPr>
      <w:bookmarkStart w:id="94" w:name="_Toc79392639"/>
    </w:p>
    <w:p w14:paraId="5EDBF0E7">
      <w:pPr>
        <w:spacing w:line="360" w:lineRule="auto"/>
        <w:ind w:firstLine="480" w:firstLineChars="200"/>
        <w:rPr>
          <w:bCs/>
          <w:color w:val="000000" w:themeColor="text1"/>
          <w:sz w:val="24"/>
          <w:lang w:eastAsia="zh-CN"/>
          <w14:textFill>
            <w14:solidFill>
              <w14:schemeClr w14:val="tx1"/>
            </w14:solidFill>
          </w14:textFill>
        </w:rPr>
      </w:pPr>
      <w:bookmarkStart w:id="95" w:name="_Hlk88080855"/>
      <w:bookmarkStart w:id="96" w:name="_Hlk97498910"/>
      <w:r>
        <w:rPr>
          <w:bCs/>
          <w:color w:val="000000" w:themeColor="text1"/>
          <w:sz w:val="24"/>
          <w:lang w:eastAsia="zh-CN"/>
          <w14:textFill>
            <w14:solidFill>
              <w14:schemeClr w14:val="tx1"/>
            </w14:solidFill>
          </w14:textFill>
        </w:rPr>
        <w:t>一、《基金合同》的变更</w:t>
      </w:r>
    </w:p>
    <w:p w14:paraId="77EF5C76">
      <w:pPr>
        <w:adjustRightInd w:val="0"/>
        <w:spacing w:line="360" w:lineRule="auto"/>
        <w:ind w:firstLine="720" w:firstLineChars="3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1、变更基金合同</w:t>
      </w:r>
      <w:r>
        <w:rPr>
          <w:rFonts w:hint="eastAsia"/>
          <w:bCs/>
          <w:color w:val="000000" w:themeColor="text1"/>
          <w:sz w:val="24"/>
          <w:lang w:eastAsia="zh-CN"/>
          <w14:textFill>
            <w14:solidFill>
              <w14:schemeClr w14:val="tx1"/>
            </w14:solidFill>
          </w14:textFill>
        </w:rPr>
        <w:t>涉及</w:t>
      </w:r>
      <w:r>
        <w:rPr>
          <w:bCs/>
          <w:color w:val="000000" w:themeColor="text1"/>
          <w:sz w:val="24"/>
          <w:lang w:eastAsia="zh-CN"/>
          <w14:textFill>
            <w14:solidFill>
              <w14:schemeClr w14:val="tx1"/>
            </w14:solidFill>
          </w14:textFill>
        </w:rPr>
        <w:t>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463EFED8">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 xml:space="preserve"> </w:t>
      </w:r>
      <w:r>
        <w:rPr>
          <w:bCs/>
          <w:color w:val="000000" w:themeColor="text1"/>
          <w:sz w:val="24"/>
          <w:lang w:eastAsia="zh-CN"/>
          <w14:textFill>
            <w14:solidFill>
              <w14:schemeClr w14:val="tx1"/>
            </w14:solidFill>
          </w14:textFill>
        </w:rPr>
        <w:t>2、关于《基金合同》变更的基金份额持有人大会决议</w:t>
      </w:r>
      <w:r>
        <w:rPr>
          <w:rFonts w:hint="eastAsia"/>
          <w:bCs/>
          <w:color w:val="000000" w:themeColor="text1"/>
          <w:sz w:val="24"/>
          <w:lang w:eastAsia="zh-CN"/>
          <w14:textFill>
            <w14:solidFill>
              <w14:schemeClr w14:val="tx1"/>
            </w14:solidFill>
          </w14:textFill>
        </w:rPr>
        <w:t>自</w:t>
      </w:r>
      <w:r>
        <w:rPr>
          <w:bCs/>
          <w:color w:val="000000" w:themeColor="text1"/>
          <w:sz w:val="24"/>
          <w:lang w:eastAsia="zh-CN"/>
          <w14:textFill>
            <w14:solidFill>
              <w14:schemeClr w14:val="tx1"/>
            </w14:solidFill>
          </w14:textFill>
        </w:rPr>
        <w:t>生效后方可执行，自决议生效后两日内在</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公告。</w:t>
      </w:r>
    </w:p>
    <w:p w14:paraId="29B2BCA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二、《基金合同》的终止事由</w:t>
      </w:r>
    </w:p>
    <w:p w14:paraId="0AAB065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有下列情形之一的，</w:t>
      </w:r>
      <w:r>
        <w:rPr>
          <w:rFonts w:hint="eastAsia"/>
          <w:bCs/>
          <w:color w:val="000000" w:themeColor="text1"/>
          <w:sz w:val="24"/>
          <w:lang w:eastAsia="zh-CN"/>
          <w14:textFill>
            <w14:solidFill>
              <w14:schemeClr w14:val="tx1"/>
            </w14:solidFill>
          </w14:textFill>
        </w:rPr>
        <w:t>经履行相关程序后，</w:t>
      </w:r>
      <w:r>
        <w:rPr>
          <w:bCs/>
          <w:color w:val="000000" w:themeColor="text1"/>
          <w:sz w:val="24"/>
          <w:lang w:eastAsia="zh-CN"/>
          <w14:textFill>
            <w14:solidFill>
              <w14:schemeClr w14:val="tx1"/>
            </w14:solidFill>
          </w14:textFill>
        </w:rPr>
        <w:t>《基金合同》应当终止：</w:t>
      </w:r>
    </w:p>
    <w:p w14:paraId="275A391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1、基金份额持有人大会决定终止的；</w:t>
      </w:r>
    </w:p>
    <w:p w14:paraId="3AA89D0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2、基金管理人、基金托管人职责终止，在6个月内没有新基金管理人、新基金托管人承接的；</w:t>
      </w:r>
    </w:p>
    <w:p w14:paraId="7EB53EA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、《基金合同》约定的其他情形；</w:t>
      </w:r>
    </w:p>
    <w:p w14:paraId="16198279">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、相关法律法规和中国证监会规定的其他情况。</w:t>
      </w:r>
    </w:p>
    <w:p w14:paraId="61914AB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三、基金财产的清算</w:t>
      </w:r>
    </w:p>
    <w:p w14:paraId="0A7BD99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1、基金财产清算小组：自出现《基金合同》终止事由之日起30个工作日内成立清算小组，基金管理人组织基金财产清算小组并在中国证监会的监督下进行基金清算。</w:t>
      </w:r>
    </w:p>
    <w:p w14:paraId="18B1F1B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4023CB8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3、基金财产清算小组职责：基金财产清算小组负责基金财产的保管、清理、估价、变现和分配。基金财产清算小组可以依法进行必要的民事活动。</w:t>
      </w:r>
    </w:p>
    <w:p w14:paraId="2193D43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4、基金财产清算程序：</w:t>
      </w:r>
    </w:p>
    <w:p w14:paraId="2879B10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（1）《基金合同》终止情形出现时，由基金财产清算小组统一接管基金；</w:t>
      </w:r>
    </w:p>
    <w:p w14:paraId="502279F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（2）对基金财产和债权债务进行清理和确认；</w:t>
      </w:r>
    </w:p>
    <w:p w14:paraId="0446EDB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（3）对基金财产进行估值和变现；</w:t>
      </w:r>
    </w:p>
    <w:p w14:paraId="55DFA09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（4）制作清算报告；</w:t>
      </w:r>
    </w:p>
    <w:p w14:paraId="568EA69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（5）聘请会计师事务所对清算报告进行外部审计，聘请律师事务所对清算报告出具法律意见书；</w:t>
      </w:r>
    </w:p>
    <w:p w14:paraId="45B1341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（6）将清算报告报中国证监会备案并公告</w:t>
      </w:r>
      <w:r>
        <w:rPr>
          <w:rFonts w:hint="eastAsia"/>
          <w:bCs/>
          <w:color w:val="000000" w:themeColor="text1"/>
          <w:sz w:val="24"/>
          <w:lang w:eastAsia="zh-CN"/>
          <w14:textFill>
            <w14:solidFill>
              <w14:schemeClr w14:val="tx1"/>
            </w14:solidFill>
          </w14:textFill>
        </w:rPr>
        <w:t>；</w:t>
      </w:r>
    </w:p>
    <w:p w14:paraId="715DD3C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（7）对基金</w:t>
      </w:r>
      <w:r>
        <w:rPr>
          <w:rFonts w:hint="eastAsia"/>
          <w:bCs/>
          <w:color w:val="000000" w:themeColor="text1"/>
          <w:sz w:val="24"/>
          <w:lang w:eastAsia="zh-CN"/>
          <w14:textFill>
            <w14:solidFill>
              <w14:schemeClr w14:val="tx1"/>
            </w14:solidFill>
          </w14:textFill>
        </w:rPr>
        <w:t>剩余</w:t>
      </w:r>
      <w:r>
        <w:rPr>
          <w:bCs/>
          <w:color w:val="000000" w:themeColor="text1"/>
          <w:sz w:val="24"/>
          <w:lang w:eastAsia="zh-CN"/>
          <w14:textFill>
            <w14:solidFill>
              <w14:schemeClr w14:val="tx1"/>
            </w14:solidFill>
          </w14:textFill>
        </w:rPr>
        <w:t>财产进行分配</w:t>
      </w:r>
      <w:r>
        <w:rPr>
          <w:rFonts w:hint="eastAsia"/>
          <w:bCs/>
          <w:color w:val="000000" w:themeColor="text1"/>
          <w:sz w:val="24"/>
          <w:lang w:eastAsia="zh-CN"/>
          <w14:textFill>
            <w14:solidFill>
              <w14:schemeClr w14:val="tx1"/>
            </w14:solidFill>
          </w14:textFill>
        </w:rPr>
        <w:t>。</w:t>
      </w:r>
    </w:p>
    <w:p w14:paraId="5401876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5、基金财产清算的期限为</w:t>
      </w:r>
      <w:r>
        <w:rPr>
          <w:rFonts w:hint="eastAsia"/>
          <w:bCs/>
          <w:color w:val="000000" w:themeColor="text1"/>
          <w:sz w:val="24"/>
          <w:lang w:eastAsia="zh-CN"/>
          <w14:textFill>
            <w14:solidFill>
              <w14:schemeClr w14:val="tx1"/>
            </w14:solidFill>
          </w14:textFill>
        </w:rPr>
        <w:t>6</w:t>
      </w:r>
      <w:r>
        <w:rPr>
          <w:bCs/>
          <w:color w:val="000000" w:themeColor="text1"/>
          <w:sz w:val="24"/>
          <w:lang w:eastAsia="zh-CN"/>
          <w14:textFill>
            <w14:solidFill>
              <w14:schemeClr w14:val="tx1"/>
            </w14:solidFill>
          </w14:textFill>
        </w:rPr>
        <w:t>个月，但因本基金所持证券的流动性受到限制而不能及时变现的，清算期限相应顺延。</w:t>
      </w:r>
    </w:p>
    <w:p w14:paraId="0800972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四、清算费用</w:t>
      </w:r>
    </w:p>
    <w:p w14:paraId="6AB324D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清算费用是指基金财产清算小组在进行基金清算过程中发生的所有合理费用，清算费用由基金财产清算小组优先从基金财产中支付。</w:t>
      </w:r>
    </w:p>
    <w:p w14:paraId="62692C6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五、基金财产清算剩余资产的分配</w:t>
      </w:r>
    </w:p>
    <w:p w14:paraId="2069A29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依据基金财产清算的分配方案，将基金财产清算后的全部剩余资产扣除基金财产清算费用、交纳所欠税款并清偿基金债务后，按基金份额持有人持有的基金份额比例进行分配。</w:t>
      </w:r>
    </w:p>
    <w:p w14:paraId="277C895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六、基金财产清算的公告</w:t>
      </w:r>
    </w:p>
    <w:p w14:paraId="03D9BF0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清算过程中的有关重大事项须及时公告；基金财产清算报告经</w:t>
      </w:r>
      <w:r>
        <w:rPr>
          <w:rFonts w:hint="eastAsia"/>
          <w:bCs/>
          <w:color w:val="000000" w:themeColor="text1"/>
          <w:sz w:val="24"/>
          <w:lang w:eastAsia="zh-CN"/>
          <w14:textFill>
            <w14:solidFill>
              <w14:schemeClr w14:val="tx1"/>
            </w14:solidFill>
          </w14:textFill>
        </w:rPr>
        <w:t>符合《中华人民共和国证券法》规定的</w:t>
      </w:r>
      <w:r>
        <w:rPr>
          <w:bCs/>
          <w:color w:val="000000" w:themeColor="text1"/>
          <w:sz w:val="24"/>
          <w:lang w:eastAsia="zh-CN"/>
          <w14:textFill>
            <w14:solidFill>
              <w14:schemeClr w14:val="tx1"/>
            </w14:solidFill>
          </w14:textFill>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bCs/>
          <w:color w:val="000000" w:themeColor="text1"/>
          <w:sz w:val="24"/>
          <w:lang w:eastAsia="zh-CN"/>
          <w14:textFill>
            <w14:solidFill>
              <w14:schemeClr w14:val="tx1"/>
            </w14:solidFill>
          </w14:textFill>
        </w:rPr>
        <w:t>，基金财产清算小组应当将清算报告登载在规定网站上，并将清算报告提示性公告登载在规定报刊上</w:t>
      </w:r>
      <w:r>
        <w:rPr>
          <w:bCs/>
          <w:color w:val="000000" w:themeColor="text1"/>
          <w:sz w:val="24"/>
          <w:lang w:eastAsia="zh-CN"/>
          <w14:textFill>
            <w14:solidFill>
              <w14:schemeClr w14:val="tx1"/>
            </w14:solidFill>
          </w14:textFill>
        </w:rPr>
        <w:t>。</w:t>
      </w:r>
    </w:p>
    <w:p w14:paraId="5C4CA4C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七、基金财产清算账册及文件的保存</w:t>
      </w:r>
    </w:p>
    <w:p w14:paraId="39BA46FE">
      <w:pPr>
        <w:spacing w:line="360" w:lineRule="auto"/>
        <w:ind w:firstLine="480" w:firstLineChars="200"/>
        <w:rPr>
          <w:bCs/>
          <w:color w:val="000000"/>
          <w:sz w:val="24"/>
          <w:lang w:eastAsia="zh-CN"/>
        </w:rPr>
      </w:pPr>
      <w:r>
        <w:rPr>
          <w:bCs/>
          <w:color w:val="000000" w:themeColor="text1"/>
          <w:sz w:val="24"/>
          <w:lang w:eastAsia="zh-CN"/>
          <w14:textFill>
            <w14:solidFill>
              <w14:schemeClr w14:val="tx1"/>
            </w14:solidFill>
          </w14:textFill>
        </w:rPr>
        <w:t>基金财产清算账册及有关文件由基金托管人保存</w:t>
      </w:r>
      <w:r>
        <w:rPr>
          <w:rFonts w:hint="eastAsia"/>
          <w:bCs/>
          <w:color w:val="000000" w:themeColor="text1"/>
          <w:sz w:val="24"/>
          <w:lang w:eastAsia="zh-CN"/>
          <w14:textFill>
            <w14:solidFill>
              <w14:schemeClr w14:val="tx1"/>
            </w14:solidFill>
          </w14:textFill>
        </w:rPr>
        <w:t>不低于法律法规规定的最低期限</w:t>
      </w:r>
      <w:r>
        <w:rPr>
          <w:bCs/>
          <w:color w:val="000000" w:themeColor="text1"/>
          <w:sz w:val="24"/>
          <w:lang w:eastAsia="zh-CN"/>
          <w14:textFill>
            <w14:solidFill>
              <w14:schemeClr w14:val="tx1"/>
            </w14:solidFill>
          </w14:textFill>
        </w:rPr>
        <w:t>。</w:t>
      </w:r>
      <w:bookmarkEnd w:id="95"/>
    </w:p>
    <w:bookmarkEnd w:id="94"/>
    <w:bookmarkEnd w:id="96"/>
    <w:p w14:paraId="7C68AF29">
      <w:pPr>
        <w:pStyle w:val="7"/>
        <w:spacing w:before="6"/>
        <w:rPr>
          <w:bCs/>
          <w:color w:val="000000"/>
          <w:sz w:val="24"/>
          <w:lang w:eastAsia="zh-CN"/>
        </w:rPr>
      </w:pPr>
    </w:p>
    <w:p w14:paraId="0965AB2A">
      <w:pPr>
        <w:pStyle w:val="7"/>
        <w:spacing w:before="6"/>
        <w:rPr>
          <w:sz w:val="42"/>
          <w:lang w:eastAsia="zh-CN"/>
        </w:rPr>
        <w:sectPr>
          <w:pgSz w:w="11910" w:h="16840"/>
          <w:pgMar w:top="1440" w:right="1800" w:bottom="1440" w:left="1800" w:header="873" w:footer="991" w:gutter="0"/>
          <w:cols w:space="720" w:num="1"/>
        </w:sectPr>
      </w:pPr>
    </w:p>
    <w:p w14:paraId="38D7CE6E">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97" w:name="_bookmark20"/>
      <w:bookmarkEnd w:id="97"/>
      <w:bookmarkStart w:id="98" w:name="_Toc69831259"/>
      <w:r>
        <w:rPr>
          <w:rFonts w:ascii="Times New Roman" w:hAnsi="Times New Roman" w:cs="Times New Roman"/>
          <w:b/>
          <w:szCs w:val="20"/>
          <w:lang w:eastAsia="zh-CN" w:bidi="ar-SA"/>
        </w:rPr>
        <w:t>第</w:t>
      </w:r>
      <w:r>
        <w:rPr>
          <w:rFonts w:hint="eastAsia" w:ascii="Times New Roman" w:hAnsi="Times New Roman" w:cs="Times New Roman"/>
          <w:b/>
          <w:szCs w:val="20"/>
          <w:lang w:eastAsia="zh-CN" w:bidi="ar-SA"/>
        </w:rPr>
        <w:t>二十一</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基金合同的内容摘要</w:t>
      </w:r>
      <w:bookmarkEnd w:id="98"/>
    </w:p>
    <w:p w14:paraId="536C7B39">
      <w:pPr>
        <w:rPr>
          <w:bCs/>
          <w:sz w:val="24"/>
          <w:lang w:val="zh-CN" w:eastAsia="zh-CN"/>
        </w:rPr>
      </w:pPr>
    </w:p>
    <w:p w14:paraId="3EB7E76F">
      <w:pPr>
        <w:adjustRightInd w:val="0"/>
        <w:snapToGrid w:val="0"/>
        <w:spacing w:line="360" w:lineRule="auto"/>
        <w:ind w:firstLine="480" w:firstLineChars="200"/>
        <w:rPr>
          <w:bCs/>
          <w:sz w:val="24"/>
          <w:lang w:eastAsia="zh-CN"/>
        </w:rPr>
      </w:pPr>
      <w:r>
        <w:rPr>
          <w:rFonts w:hint="eastAsia"/>
          <w:bCs/>
          <w:sz w:val="24"/>
          <w:lang w:eastAsia="zh-CN"/>
        </w:rPr>
        <w:t>一、基金管理人、基金托管人及基金份额持有人的权利与义务</w:t>
      </w:r>
    </w:p>
    <w:p w14:paraId="3FA22B0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1、根据《基金法》、《运作办法》及其他有关规定，基金管理人的权利包括但不限于：</w:t>
      </w:r>
    </w:p>
    <w:p w14:paraId="263D603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（1）依法募集</w:t>
      </w:r>
      <w:r>
        <w:rPr>
          <w:rFonts w:hint="eastAsia"/>
          <w:bCs/>
          <w:color w:val="000000" w:themeColor="text1"/>
          <w:sz w:val="24"/>
          <w:lang w:eastAsia="zh-CN"/>
          <w14:textFill>
            <w14:solidFill>
              <w14:schemeClr w14:val="tx1"/>
            </w14:solidFill>
          </w14:textFill>
        </w:rPr>
        <w:t>资</w:t>
      </w:r>
      <w:r>
        <w:rPr>
          <w:bCs/>
          <w:color w:val="000000" w:themeColor="text1"/>
          <w:sz w:val="24"/>
          <w:lang w:eastAsia="zh-CN"/>
          <w14:textFill>
            <w14:solidFill>
              <w14:schemeClr w14:val="tx1"/>
            </w14:solidFill>
          </w14:textFill>
        </w:rPr>
        <w:t>金；</w:t>
      </w:r>
    </w:p>
    <w:p w14:paraId="303A2F2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（2）自《基金合同》生效之日起，根据法律法规和《基金合同》独立运用并管理基金财产；</w:t>
      </w:r>
    </w:p>
    <w:p w14:paraId="33DE90E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（3）依照《基金合同》收取基金管理费以及法律法规规定或中国证监会批准的其他费用；</w:t>
      </w:r>
    </w:p>
    <w:p w14:paraId="2B3B773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（4）销售基金份额；</w:t>
      </w:r>
    </w:p>
    <w:p w14:paraId="4D9E5AD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w:t>
      </w:r>
      <w:bookmarkStart w:id="99" w:name="_Hlt88896155"/>
      <w:r>
        <w:rPr>
          <w:rFonts w:hint="eastAsia"/>
          <w:bCs/>
          <w:color w:val="000000" w:themeColor="text1"/>
          <w:sz w:val="24"/>
          <w:lang w:eastAsia="zh-CN"/>
          <w14:textFill>
            <w14:solidFill>
              <w14:schemeClr w14:val="tx1"/>
            </w14:solidFill>
          </w14:textFill>
        </w:rPr>
        <w:t>按照规定</w:t>
      </w:r>
      <w:r>
        <w:rPr>
          <w:bCs/>
          <w:color w:val="000000" w:themeColor="text1"/>
          <w:sz w:val="24"/>
          <w:lang w:eastAsia="zh-CN"/>
          <w14:textFill>
            <w14:solidFill>
              <w14:schemeClr w14:val="tx1"/>
            </w14:solidFill>
          </w14:textFill>
        </w:rPr>
        <w:t>召集</w:t>
      </w:r>
      <w:bookmarkEnd w:id="99"/>
      <w:r>
        <w:rPr>
          <w:bCs/>
          <w:color w:val="000000" w:themeColor="text1"/>
          <w:sz w:val="24"/>
          <w:lang w:eastAsia="zh-CN"/>
          <w14:textFill>
            <w14:solidFill>
              <w14:schemeClr w14:val="tx1"/>
            </w14:solidFill>
          </w14:textFill>
        </w:rPr>
        <w:t>基金份额持有人大会；</w:t>
      </w:r>
    </w:p>
    <w:p w14:paraId="54BF9B8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（6）依据《基金合同》及有关法律规定监督基金托管人，如认为基金托管人违反了《基金合同》及国家有关法律规定，应呈报中国证监会和其他监管部门，并采取必要措施保护基金投资者的利益；</w:t>
      </w:r>
    </w:p>
    <w:p w14:paraId="1AD171D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（7）在基金托管人更换时，提名新的基金托管人；</w:t>
      </w:r>
    </w:p>
    <w:p w14:paraId="79804F52">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（8）选择、更换基金销售机构，对基金销售机构的相关行为进行监督和处理；</w:t>
      </w:r>
    </w:p>
    <w:p w14:paraId="7AB633E2">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（9）担任或委托其他符合条件的机构担任基金登记机构办理基金登记业务并获得《基金合同》规定的费用；</w:t>
      </w:r>
    </w:p>
    <w:p w14:paraId="03E260D5">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（10）依据《基金合同》及有关法律规定决定基金收益的分配方案；</w:t>
      </w:r>
    </w:p>
    <w:p w14:paraId="4CC2BFC0">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（11）在《基金合同》约定的范围内，拒绝或暂停受理申购</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赎回或转换申请；</w:t>
      </w:r>
    </w:p>
    <w:p w14:paraId="0032953F">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（12）依照法律法规为基金的利益对被投资公司行使</w:t>
      </w:r>
      <w:r>
        <w:rPr>
          <w:rFonts w:hint="eastAsia"/>
          <w:bCs/>
          <w:color w:val="000000" w:themeColor="text1"/>
          <w:sz w:val="24"/>
          <w:lang w:eastAsia="zh-CN"/>
          <w14:textFill>
            <w14:solidFill>
              <w14:schemeClr w14:val="tx1"/>
            </w14:solidFill>
          </w14:textFill>
        </w:rPr>
        <w:t>证券持有人</w:t>
      </w:r>
      <w:r>
        <w:rPr>
          <w:bCs/>
          <w:color w:val="000000" w:themeColor="text1"/>
          <w:sz w:val="24"/>
          <w:lang w:eastAsia="zh-CN"/>
          <w14:textFill>
            <w14:solidFill>
              <w14:schemeClr w14:val="tx1"/>
            </w14:solidFill>
          </w14:textFill>
        </w:rPr>
        <w:t>权利，为基金的利益行使因基金财产投资于证券所产生的权利；</w:t>
      </w:r>
    </w:p>
    <w:p w14:paraId="3DDCE231">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 xml:space="preserve">（13）在法律法规允许的前提下，为基金的利益依法为基金进行融资； </w:t>
      </w:r>
    </w:p>
    <w:p w14:paraId="624B015D">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（14）以基金管理人的名义，代表基金份额持有人的利益行使诉讼权利或者实施其他法律行为；</w:t>
      </w:r>
    </w:p>
    <w:p w14:paraId="7C213BB8">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（15）选择、更换律师事务所、会计师事务所、证券经纪商或其他为基金提供服务的外部机构；</w:t>
      </w:r>
    </w:p>
    <w:p w14:paraId="1CBEF56D">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（16）在符合有关法律、法规的前提下，制订和调整有关基金认购、申购、赎回、转换和非交易过户</w:t>
      </w:r>
      <w:r>
        <w:rPr>
          <w:rFonts w:hint="eastAsia"/>
          <w:bCs/>
          <w:color w:val="000000" w:themeColor="text1"/>
          <w:sz w:val="24"/>
          <w:lang w:eastAsia="zh-CN"/>
          <w14:textFill>
            <w14:solidFill>
              <w14:schemeClr w14:val="tx1"/>
            </w14:solidFill>
          </w14:textFill>
        </w:rPr>
        <w:t>等</w:t>
      </w:r>
      <w:r>
        <w:rPr>
          <w:bCs/>
          <w:color w:val="000000" w:themeColor="text1"/>
          <w:sz w:val="24"/>
          <w:lang w:eastAsia="zh-CN"/>
          <w14:textFill>
            <w14:solidFill>
              <w14:schemeClr w14:val="tx1"/>
            </w14:solidFill>
          </w14:textFill>
        </w:rPr>
        <w:t>业务规则；</w:t>
      </w:r>
    </w:p>
    <w:p w14:paraId="33D1A638">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（17）法律法规及中国证监会规定的和《基金合同》约定的其他权利。</w:t>
      </w:r>
    </w:p>
    <w:p w14:paraId="380F0A81">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2、根据《基金法》、《运作办法》及其他有关规定，基金管理人的义务包括但不限于：</w:t>
      </w:r>
    </w:p>
    <w:p w14:paraId="0C3C0A0E">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（1）依法募集</w:t>
      </w:r>
      <w:r>
        <w:rPr>
          <w:rFonts w:hint="eastAsia"/>
          <w:bCs/>
          <w:color w:val="000000" w:themeColor="text1"/>
          <w:sz w:val="24"/>
          <w:lang w:eastAsia="zh-CN"/>
          <w14:textFill>
            <w14:solidFill>
              <w14:schemeClr w14:val="tx1"/>
            </w14:solidFill>
          </w14:textFill>
        </w:rPr>
        <w:t>资</w:t>
      </w:r>
      <w:r>
        <w:rPr>
          <w:bCs/>
          <w:color w:val="000000" w:themeColor="text1"/>
          <w:sz w:val="24"/>
          <w:lang w:eastAsia="zh-CN"/>
          <w14:textFill>
            <w14:solidFill>
              <w14:schemeClr w14:val="tx1"/>
            </w14:solidFill>
          </w14:textFill>
        </w:rPr>
        <w:t>金，办理或者委托经中国证监会认定的其他机构代为办理基金份额的发售、申购、赎回和登记事宜；</w:t>
      </w:r>
    </w:p>
    <w:p w14:paraId="0F674276">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（2）办理基金备案手续；</w:t>
      </w:r>
    </w:p>
    <w:p w14:paraId="227344F2">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（3）自《基金合同》生效之日起,以诚实信用、谨慎勤勉的原则管理和运用基金财产；</w:t>
      </w:r>
    </w:p>
    <w:p w14:paraId="029C8F7D">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（4）配备足够的具有专业资格的人员进行基金投资分析、决策，以专业化的经营方式管理和运作基金财产；</w:t>
      </w:r>
    </w:p>
    <w:p w14:paraId="7879C91C">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（5）建立健全内部风险控制、监察与稽核、财务管理及人事管理等制度，保证所管理的基金财产和基金管理人的财产相互独立,对所管理的不同基金分别管理，分别记账，进行证券投资；</w:t>
      </w:r>
    </w:p>
    <w:p w14:paraId="2DD7267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（6）除依据《基金法》、《基金合同》及其他有关规定外,不得利用基金财产为自己及任何第三人谋取利益，不得委托第三人运作基金财产；</w:t>
      </w:r>
      <w:bookmarkStart w:id="100" w:name="_Hlt88897298"/>
      <w:bookmarkEnd w:id="100"/>
    </w:p>
    <w:p w14:paraId="353C078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（7）依法接受基金托管人的监督；</w:t>
      </w:r>
    </w:p>
    <w:p w14:paraId="2F09B2B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（8）采取适当合理的措施使计算基金份额认购、申购、赎回和注销价格的方法符合《基金合同》等法律文件的规定，按有关规定计算并公告基金净值信息，确定基金份额申购、赎回的价格；</w:t>
      </w:r>
    </w:p>
    <w:p w14:paraId="6460CF9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（9）进行基金会计核算并编制基金财务会计报告；</w:t>
      </w:r>
    </w:p>
    <w:p w14:paraId="03A15A7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（10）编制季度报告、</w:t>
      </w:r>
      <w:r>
        <w:rPr>
          <w:rFonts w:hint="eastAsia"/>
          <w:bCs/>
          <w:color w:val="000000" w:themeColor="text1"/>
          <w:sz w:val="24"/>
          <w:lang w:eastAsia="zh-CN"/>
          <w14:textFill>
            <w14:solidFill>
              <w14:schemeClr w14:val="tx1"/>
            </w14:solidFill>
          </w14:textFill>
        </w:rPr>
        <w:t>中期报告</w:t>
      </w:r>
      <w:r>
        <w:rPr>
          <w:bCs/>
          <w:color w:val="000000" w:themeColor="text1"/>
          <w:sz w:val="24"/>
          <w:lang w:eastAsia="zh-CN"/>
          <w14:textFill>
            <w14:solidFill>
              <w14:schemeClr w14:val="tx1"/>
            </w14:solidFill>
          </w14:textFill>
        </w:rPr>
        <w:t>和年度报告；</w:t>
      </w:r>
    </w:p>
    <w:p w14:paraId="1A0D5B8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（11）严格按照《基金法》、</w:t>
      </w:r>
      <w:r>
        <w:rPr>
          <w:rFonts w:hint="eastAsia"/>
          <w:bCs/>
          <w:color w:val="000000" w:themeColor="text1"/>
          <w:sz w:val="24"/>
          <w:lang w:eastAsia="zh-CN"/>
          <w14:textFill>
            <w14:solidFill>
              <w14:schemeClr w14:val="tx1"/>
            </w14:solidFill>
          </w14:textFill>
        </w:rPr>
        <w:t>《信息披露办法》、</w:t>
      </w:r>
      <w:r>
        <w:rPr>
          <w:bCs/>
          <w:color w:val="000000" w:themeColor="text1"/>
          <w:sz w:val="24"/>
          <w:lang w:eastAsia="zh-CN"/>
          <w14:textFill>
            <w14:solidFill>
              <w14:schemeClr w14:val="tx1"/>
            </w14:solidFill>
          </w14:textFill>
        </w:rPr>
        <w:t>《基金合同》及其他有关规定，履行信息披露及报告义务；</w:t>
      </w:r>
    </w:p>
    <w:p w14:paraId="7EE8E31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（12）保守基金商业秘密，不泄露基金投资计划、投资意向等。除《基金法》、</w:t>
      </w:r>
      <w:r>
        <w:rPr>
          <w:rFonts w:hint="eastAsia"/>
          <w:bCs/>
          <w:color w:val="000000" w:themeColor="text1"/>
          <w:sz w:val="24"/>
          <w:lang w:eastAsia="zh-CN"/>
          <w14:textFill>
            <w14:solidFill>
              <w14:schemeClr w14:val="tx1"/>
            </w14:solidFill>
          </w14:textFill>
        </w:rPr>
        <w:t>《信息披露办法》、</w:t>
      </w:r>
      <w:r>
        <w:rPr>
          <w:bCs/>
          <w:color w:val="000000" w:themeColor="text1"/>
          <w:sz w:val="24"/>
          <w:lang w:eastAsia="zh-CN"/>
          <w14:textFill>
            <w14:solidFill>
              <w14:schemeClr w14:val="tx1"/>
            </w14:solidFill>
          </w14:textFill>
        </w:rPr>
        <w:t>《基金合同》及其他有关规定另有规定外，在基金信息公开披露前应予保密，不向他人泄露；</w:t>
      </w:r>
    </w:p>
    <w:p w14:paraId="726509D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（13）按《基金合同》的约定确定基金收益分配方案，及时向基金份额持有人分配基金收益；</w:t>
      </w:r>
    </w:p>
    <w:p w14:paraId="56186A0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（14）按规定受理申购与赎回申请，及时、足额支付赎回款项；</w:t>
      </w:r>
    </w:p>
    <w:p w14:paraId="3B3302E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（15）依据《基金法》、《基金合同》及其他有关规定召集基金份额持有人大会或配合基金托管人、基金份额持有人依法召集基金份额持有人大会；</w:t>
      </w:r>
    </w:p>
    <w:p w14:paraId="5A5E1D4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（16）按规定保存基金财产管理业务活动的会计账册、报表、记录和其他相关资料</w:t>
      </w:r>
      <w:r>
        <w:rPr>
          <w:rFonts w:hint="eastAsia"/>
          <w:bCs/>
          <w:color w:val="000000" w:themeColor="text1"/>
          <w:sz w:val="24"/>
          <w:lang w:eastAsia="zh-CN"/>
          <w14:textFill>
            <w14:solidFill>
              <w14:schemeClr w14:val="tx1"/>
            </w14:solidFill>
          </w14:textFill>
        </w:rPr>
        <w:t>，保存期限不低于法律法规规定的最低期限</w:t>
      </w:r>
      <w:r>
        <w:rPr>
          <w:bCs/>
          <w:color w:val="000000" w:themeColor="text1"/>
          <w:sz w:val="24"/>
          <w:lang w:eastAsia="zh-CN"/>
          <w14:textFill>
            <w14:solidFill>
              <w14:schemeClr w14:val="tx1"/>
            </w14:solidFill>
          </w14:textFill>
        </w:rPr>
        <w:t>；</w:t>
      </w:r>
    </w:p>
    <w:p w14:paraId="08DC157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2531E8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（18）组织并参加基金财产清算小组,参与基金财产的保管、清理、估价、变现和分配；</w:t>
      </w:r>
    </w:p>
    <w:p w14:paraId="27BF43E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（19）面临解散、依法被撤销或者被依法宣告破产时，及时报告中国证监会并通知基金托管人；</w:t>
      </w:r>
    </w:p>
    <w:p w14:paraId="4A0D3DD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（20）因违反《基金合同》导致基金财产的损失或损害基金份额持有人合法权益时，应当承担赔偿责任，其赔偿责任不因其退任而免除；</w:t>
      </w:r>
    </w:p>
    <w:p w14:paraId="01CB1B3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（21）监督基金托管人按法律法规和《基金合同》规定履行自己的义务，基金托管人违反《基金合同》造成基金财产损失时，基金管理人应为基金份额持有人利益向基金托管人追偿；</w:t>
      </w:r>
    </w:p>
    <w:p w14:paraId="12E145F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（22）当基金管理人将其义务委托第三方处理时，应当对第三方处理有关基金事务的行为承担责任；</w:t>
      </w:r>
    </w:p>
    <w:p w14:paraId="569F33E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（23）以基金管理人名义，代表基金份额持有人利益行使诉讼权利或实施其他法律行为；</w:t>
      </w:r>
    </w:p>
    <w:p w14:paraId="73BC9A6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（24）基金在募集期间未能达到基金</w:t>
      </w:r>
      <w:bookmarkStart w:id="101" w:name="_Hlt88823209"/>
      <w:bookmarkEnd w:id="101"/>
      <w:r>
        <w:rPr>
          <w:bCs/>
          <w:color w:val="000000" w:themeColor="text1"/>
          <w:sz w:val="24"/>
          <w:lang w:eastAsia="zh-CN"/>
          <w14:textFill>
            <w14:solidFill>
              <w14:schemeClr w14:val="tx1"/>
            </w14:solidFill>
          </w14:textFill>
        </w:rPr>
        <w:t>的备案条件，《基金合同》不能生效，基金管理人承担全部募集费用，将已募集资金并加计银行同期活期存款利息在基金募集期结束后</w:t>
      </w:r>
      <w:r>
        <w:rPr>
          <w:rFonts w:hint="eastAsia"/>
          <w:bCs/>
          <w:color w:val="000000" w:themeColor="text1"/>
          <w:sz w:val="24"/>
          <w:lang w:eastAsia="zh-CN"/>
          <w14:textFill>
            <w14:solidFill>
              <w14:schemeClr w14:val="tx1"/>
            </w14:solidFill>
          </w14:textFill>
        </w:rPr>
        <w:t>30</w:t>
      </w:r>
      <w:r>
        <w:rPr>
          <w:bCs/>
          <w:color w:val="000000" w:themeColor="text1"/>
          <w:sz w:val="24"/>
          <w:lang w:eastAsia="zh-CN"/>
          <w14:textFill>
            <w14:solidFill>
              <w14:schemeClr w14:val="tx1"/>
            </w14:solidFill>
          </w14:textFill>
        </w:rPr>
        <w:t>日内退还基金认购人；</w:t>
      </w:r>
    </w:p>
    <w:p w14:paraId="1069642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（25）执行生效的基金份额持有人大会的</w:t>
      </w:r>
      <w:r>
        <w:rPr>
          <w:rFonts w:hint="eastAsia"/>
          <w:bCs/>
          <w:color w:val="000000" w:themeColor="text1"/>
          <w:sz w:val="24"/>
          <w:lang w:eastAsia="zh-CN"/>
          <w14:textFill>
            <w14:solidFill>
              <w14:schemeClr w14:val="tx1"/>
            </w14:solidFill>
          </w14:textFill>
        </w:rPr>
        <w:t>决议</w:t>
      </w:r>
      <w:r>
        <w:rPr>
          <w:bCs/>
          <w:color w:val="000000" w:themeColor="text1"/>
          <w:sz w:val="24"/>
          <w:lang w:eastAsia="zh-CN"/>
          <w14:textFill>
            <w14:solidFill>
              <w14:schemeClr w14:val="tx1"/>
            </w14:solidFill>
          </w14:textFill>
        </w:rPr>
        <w:t>；</w:t>
      </w:r>
    </w:p>
    <w:p w14:paraId="4CB904D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（26）建立并保存基金份额持有人名册；</w:t>
      </w:r>
    </w:p>
    <w:p w14:paraId="2DDC8C00">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（27）法律法规及中国证监会规定的和《基金合同》约定的其他义务。</w:t>
      </w:r>
    </w:p>
    <w:p w14:paraId="4E33AAB8">
      <w:pPr>
        <w:adjustRightInd w:val="0"/>
        <w:snapToGrid w:val="0"/>
        <w:spacing w:line="360" w:lineRule="auto"/>
        <w:ind w:firstLine="480" w:firstLineChars="200"/>
        <w:rPr>
          <w:bCs/>
          <w:sz w:val="24"/>
          <w:lang w:eastAsia="zh-CN"/>
        </w:rPr>
      </w:pPr>
      <w:r>
        <w:rPr>
          <w:rFonts w:hint="eastAsia"/>
          <w:bCs/>
          <w:sz w:val="24"/>
          <w:lang w:eastAsia="zh-CN"/>
        </w:rPr>
        <w:t>（二）基金托管人的权利与义务</w:t>
      </w:r>
    </w:p>
    <w:p w14:paraId="007EB54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1、根据《基金法》、《运作办法》及其他有关规定，基金托管人的权利包括但不限于：</w:t>
      </w:r>
    </w:p>
    <w:p w14:paraId="5E0E487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（1）自《基金合同》生效之日起，依法律法规和《基金合同》的规定安全保管基金财产；</w:t>
      </w:r>
    </w:p>
    <w:p w14:paraId="329DEA8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（2）依《基金合同》约定获得基金托管费以及法律法规规定或监管部门批准的其他费用；</w:t>
      </w:r>
    </w:p>
    <w:p w14:paraId="64C34C9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6224D5D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（4）根据相关市场规则，为基金开设</w:t>
      </w:r>
      <w:r>
        <w:rPr>
          <w:rFonts w:hint="eastAsia"/>
          <w:bCs/>
          <w:color w:val="000000" w:themeColor="text1"/>
          <w:sz w:val="24"/>
          <w:szCs w:val="24"/>
          <w:lang w:eastAsia="zh-CN"/>
          <w14:textFill>
            <w14:solidFill>
              <w14:schemeClr w14:val="tx1"/>
            </w14:solidFill>
          </w14:textFill>
        </w:rPr>
        <w:t>资金</w:t>
      </w:r>
      <w:r>
        <w:rPr>
          <w:bCs/>
          <w:color w:val="000000" w:themeColor="text1"/>
          <w:sz w:val="24"/>
          <w:szCs w:val="24"/>
          <w:lang w:eastAsia="zh-CN"/>
          <w14:textFill>
            <w14:solidFill>
              <w14:schemeClr w14:val="tx1"/>
            </w14:solidFill>
          </w14:textFill>
        </w:rPr>
        <w:t>/</w:t>
      </w:r>
      <w:r>
        <w:rPr>
          <w:bCs/>
          <w:color w:val="000000" w:themeColor="text1"/>
          <w:sz w:val="24"/>
          <w:lang w:eastAsia="zh-CN"/>
          <w14:textFill>
            <w14:solidFill>
              <w14:schemeClr w14:val="tx1"/>
            </w14:solidFill>
          </w14:textFill>
        </w:rPr>
        <w:t>证券</w:t>
      </w:r>
      <w:r>
        <w:rPr>
          <w:rFonts w:hint="eastAsia"/>
          <w:bCs/>
          <w:color w:val="000000" w:themeColor="text1"/>
          <w:sz w:val="24"/>
          <w:lang w:eastAsia="zh-CN"/>
          <w14:textFill>
            <w14:solidFill>
              <w14:schemeClr w14:val="tx1"/>
            </w14:solidFill>
          </w14:textFill>
        </w:rPr>
        <w:t>账户等投资所需账户</w:t>
      </w:r>
      <w:r>
        <w:rPr>
          <w:bCs/>
          <w:color w:val="000000" w:themeColor="text1"/>
          <w:sz w:val="24"/>
          <w:lang w:eastAsia="zh-CN"/>
          <w14:textFill>
            <w14:solidFill>
              <w14:schemeClr w14:val="tx1"/>
            </w14:solidFill>
          </w14:textFill>
        </w:rPr>
        <w:t>、为基金办理证券交易资金清算</w:t>
      </w:r>
      <w:r>
        <w:rPr>
          <w:rFonts w:hint="eastAsia"/>
          <w:bCs/>
          <w:color w:val="000000" w:themeColor="text1"/>
          <w:sz w:val="24"/>
          <w:lang w:eastAsia="zh-CN"/>
          <w14:textFill>
            <w14:solidFill>
              <w14:schemeClr w14:val="tx1"/>
            </w14:solidFill>
          </w14:textFill>
        </w:rPr>
        <w:t>；</w:t>
      </w:r>
    </w:p>
    <w:p w14:paraId="5BF9ED7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（5）提议召开或召集基金份额持有人大会；</w:t>
      </w:r>
    </w:p>
    <w:p w14:paraId="794A72F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（6）在基金管理人更换时，提名新的基金管理人；</w:t>
      </w:r>
    </w:p>
    <w:p w14:paraId="0783AD7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（7）法律法规及中国证监会规定的和《基金合同》约定的其他权利。</w:t>
      </w:r>
    </w:p>
    <w:p w14:paraId="02BA9DE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2、根据《基金法》、《运作办法》及其他有关规定，基金托管人的义务包括但不限于：</w:t>
      </w:r>
    </w:p>
    <w:p w14:paraId="74B3C51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（1）以诚实信用、勤勉尽责的原则持有并安全保管基金财产；</w:t>
      </w:r>
    </w:p>
    <w:p w14:paraId="6FD24A7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（2）设立专门的基金托管部门，具有符合要求的营业场所，配备足够的、合格的熟悉基金托管业务的专职人员，负责基金财产托管事宜；</w:t>
      </w:r>
    </w:p>
    <w:p w14:paraId="7F02036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7E2121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（4）除依据《基金法》、《基金合同》及其他有关规定外，不得利用基金财产为自己及任何第三人谋取利益，不得委托第三人托管基金财产；</w:t>
      </w:r>
    </w:p>
    <w:p w14:paraId="05E1C15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（5）保管由基金管理人代表基金签订的与基金有关的重大合同及有关凭证；</w:t>
      </w:r>
    </w:p>
    <w:p w14:paraId="4407C0D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（6）按规定开设基金财产的资金账户和证券账户</w:t>
      </w:r>
      <w:r>
        <w:rPr>
          <w:rFonts w:hint="eastAsia"/>
          <w:bCs/>
          <w:color w:val="000000" w:themeColor="text1"/>
          <w:sz w:val="24"/>
          <w:lang w:eastAsia="zh-CN"/>
          <w14:textFill>
            <w14:solidFill>
              <w14:schemeClr w14:val="tx1"/>
            </w14:solidFill>
          </w14:textFill>
        </w:rPr>
        <w:t>等投资所需账户</w:t>
      </w:r>
      <w:r>
        <w:rPr>
          <w:bCs/>
          <w:color w:val="000000" w:themeColor="text1"/>
          <w:sz w:val="24"/>
          <w:lang w:eastAsia="zh-CN"/>
          <w14:textFill>
            <w14:solidFill>
              <w14:schemeClr w14:val="tx1"/>
            </w14:solidFill>
          </w14:textFill>
        </w:rPr>
        <w:t>,按照《基金合同》的约定，根据基金管理人的投资指令，及时办理清算、交割事宜；</w:t>
      </w:r>
    </w:p>
    <w:p w14:paraId="28B7266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（7）保守基金商业秘密，除《基金法》、《基金合同》及其他有关规定另有规定外，在基金信息公开披露前予以保密，不得向他人泄露；</w:t>
      </w:r>
    </w:p>
    <w:p w14:paraId="721EB85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（8）复核、审查基金管理人计算的基金资产净值、基金份额</w:t>
      </w:r>
      <w:r>
        <w:rPr>
          <w:rFonts w:hint="eastAsia"/>
          <w:bCs/>
          <w:color w:val="000000" w:themeColor="text1"/>
          <w:sz w:val="24"/>
          <w:lang w:eastAsia="zh-CN"/>
          <w14:textFill>
            <w14:solidFill>
              <w14:schemeClr w14:val="tx1"/>
            </w14:solidFill>
          </w14:textFill>
        </w:rPr>
        <w:t>净值、基金份额</w:t>
      </w:r>
      <w:r>
        <w:rPr>
          <w:bCs/>
          <w:color w:val="000000" w:themeColor="text1"/>
          <w:sz w:val="24"/>
          <w:lang w:eastAsia="zh-CN"/>
          <w14:textFill>
            <w14:solidFill>
              <w14:schemeClr w14:val="tx1"/>
            </w14:solidFill>
          </w14:textFill>
        </w:rPr>
        <w:t>申购、赎回价格；</w:t>
      </w:r>
    </w:p>
    <w:p w14:paraId="23BD3B3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（9）办理与基金托管业务活动有关的信息披露事项；</w:t>
      </w:r>
    </w:p>
    <w:p w14:paraId="6C3C261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（10）对基金财务会计报告、</w:t>
      </w:r>
      <w:r>
        <w:rPr>
          <w:rFonts w:hint="eastAsia"/>
          <w:bCs/>
          <w:color w:val="000000" w:themeColor="text1"/>
          <w:sz w:val="24"/>
          <w:lang w:eastAsia="zh-CN"/>
          <w14:textFill>
            <w14:solidFill>
              <w14:schemeClr w14:val="tx1"/>
            </w14:solidFill>
          </w14:textFill>
        </w:rPr>
        <w:t>季度报告、中期报告</w:t>
      </w:r>
      <w:r>
        <w:rPr>
          <w:bCs/>
          <w:color w:val="000000" w:themeColor="text1"/>
          <w:sz w:val="24"/>
          <w:lang w:eastAsia="zh-CN"/>
          <w14:textFill>
            <w14:solidFill>
              <w14:schemeClr w14:val="tx1"/>
            </w14:solidFill>
          </w14:textFill>
        </w:rPr>
        <w:t>和年度报告出具意见，说明基金管理人在各重要方面的运作是否严格按照《基金合同》的规定进行；如果基金管理人有未执行《基金合同》规定的行为，还应当说明基金托管人是否采取了适当的措施；</w:t>
      </w:r>
    </w:p>
    <w:p w14:paraId="5FF7973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（11）保存基金托管业务活动的记录、账册、报表和其他相关资料</w:t>
      </w:r>
      <w:r>
        <w:rPr>
          <w:rFonts w:hint="eastAsia"/>
          <w:bCs/>
          <w:color w:val="000000" w:themeColor="text1"/>
          <w:sz w:val="24"/>
          <w:lang w:eastAsia="zh-CN"/>
          <w14:textFill>
            <w14:solidFill>
              <w14:schemeClr w14:val="tx1"/>
            </w14:solidFill>
          </w14:textFill>
        </w:rPr>
        <w:t>不低于法律法规规定的最低期限</w:t>
      </w:r>
      <w:r>
        <w:rPr>
          <w:bCs/>
          <w:color w:val="000000" w:themeColor="text1"/>
          <w:sz w:val="24"/>
          <w:lang w:eastAsia="zh-CN"/>
          <w14:textFill>
            <w14:solidFill>
              <w14:schemeClr w14:val="tx1"/>
            </w14:solidFill>
          </w14:textFill>
        </w:rPr>
        <w:t>；</w:t>
      </w:r>
    </w:p>
    <w:p w14:paraId="7D1BB3B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（12）</w:t>
      </w:r>
      <w:r>
        <w:rPr>
          <w:rFonts w:hint="eastAsia"/>
          <w:bCs/>
          <w:color w:val="000000" w:themeColor="text1"/>
          <w:sz w:val="24"/>
          <w:lang w:eastAsia="zh-CN"/>
          <w14:textFill>
            <w14:solidFill>
              <w14:schemeClr w14:val="tx1"/>
            </w14:solidFill>
          </w14:textFill>
        </w:rPr>
        <w:t>从基金管理人或其委托的登记机构处接收</w:t>
      </w:r>
      <w:r>
        <w:rPr>
          <w:bCs/>
          <w:color w:val="000000" w:themeColor="text1"/>
          <w:sz w:val="24"/>
          <w:lang w:eastAsia="zh-CN"/>
          <w14:textFill>
            <w14:solidFill>
              <w14:schemeClr w14:val="tx1"/>
            </w14:solidFill>
          </w14:textFill>
        </w:rPr>
        <w:t>并保存基金份额持有人名册；</w:t>
      </w:r>
    </w:p>
    <w:p w14:paraId="502A397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（13）按规定制作相关账册并与基金管理人核对；</w:t>
      </w:r>
    </w:p>
    <w:p w14:paraId="2D66043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（14）依据基金管理人的指令或有关规定向基金份额持有人支付基金收益和赎回款项；</w:t>
      </w:r>
    </w:p>
    <w:p w14:paraId="766E4F9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（15）依据《基金法》、《基金合同》及其他有关规定，召集基金份额持有人大会或配合</w:t>
      </w:r>
      <w:r>
        <w:rPr>
          <w:rFonts w:hint="eastAsia"/>
          <w:bCs/>
          <w:color w:val="000000" w:themeColor="text1"/>
          <w:sz w:val="24"/>
          <w:lang w:eastAsia="zh-CN"/>
          <w14:textFill>
            <w14:solidFill>
              <w14:schemeClr w14:val="tx1"/>
            </w14:solidFill>
          </w14:textFill>
        </w:rPr>
        <w:t>基金管理人、</w:t>
      </w:r>
      <w:r>
        <w:rPr>
          <w:bCs/>
          <w:color w:val="000000" w:themeColor="text1"/>
          <w:sz w:val="24"/>
          <w:lang w:eastAsia="zh-CN"/>
          <w14:textFill>
            <w14:solidFill>
              <w14:schemeClr w14:val="tx1"/>
            </w14:solidFill>
          </w14:textFill>
        </w:rPr>
        <w:t>基金份额持有人依法召集基金份额持有人大会；</w:t>
      </w:r>
    </w:p>
    <w:p w14:paraId="3653A2E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（16）按照法律法规和《基金合同》的规定监督基金管理人的投资运作；</w:t>
      </w:r>
    </w:p>
    <w:p w14:paraId="2EFC0B4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（17）参加基金财产清算小组，参与基金财产的保管、清理、估价、变现和分配；</w:t>
      </w:r>
    </w:p>
    <w:p w14:paraId="76C8E6C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（18）面临解散、依法被撤销或者被依法宣告破产时，及时报告中国证监会和</w:t>
      </w:r>
      <w:r>
        <w:rPr>
          <w:rFonts w:hint="eastAsia"/>
          <w:bCs/>
          <w:color w:val="000000" w:themeColor="text1"/>
          <w:sz w:val="24"/>
          <w:lang w:eastAsia="zh-CN"/>
          <w14:textFill>
            <w14:solidFill>
              <w14:schemeClr w14:val="tx1"/>
            </w14:solidFill>
          </w14:textFill>
        </w:rPr>
        <w:t>银行业监督管理机构</w:t>
      </w:r>
      <w:r>
        <w:rPr>
          <w:bCs/>
          <w:color w:val="000000" w:themeColor="text1"/>
          <w:sz w:val="24"/>
          <w:lang w:eastAsia="zh-CN"/>
          <w14:textFill>
            <w14:solidFill>
              <w14:schemeClr w14:val="tx1"/>
            </w14:solidFill>
          </w14:textFill>
        </w:rPr>
        <w:t>，并通知基金管理人；</w:t>
      </w:r>
    </w:p>
    <w:p w14:paraId="6DA22FE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（19）因违反《基金合同》导致基金财产损失时，应承担赔偿责任，其赔偿责任不因其退任而免除；</w:t>
      </w:r>
    </w:p>
    <w:p w14:paraId="342B6DF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（20）按规定监督基金管理人按法律法规和《基金合同》规定履行自己的义务，基金管理人因违反《基金合同》造成基金财产损失时，应为基金份额持有人利益向基金管理人追偿</w:t>
      </w:r>
      <w:bookmarkStart w:id="102" w:name="_Hlt88825668"/>
      <w:bookmarkEnd w:id="102"/>
      <w:r>
        <w:rPr>
          <w:bCs/>
          <w:color w:val="000000" w:themeColor="text1"/>
          <w:sz w:val="24"/>
          <w:lang w:eastAsia="zh-CN"/>
          <w14:textFill>
            <w14:solidFill>
              <w14:schemeClr w14:val="tx1"/>
            </w14:solidFill>
          </w14:textFill>
        </w:rPr>
        <w:t>；</w:t>
      </w:r>
    </w:p>
    <w:p w14:paraId="5484041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（21）执行生效的基金份额持有人大会的决</w:t>
      </w:r>
      <w:r>
        <w:rPr>
          <w:rFonts w:hint="eastAsia"/>
          <w:bCs/>
          <w:color w:val="000000" w:themeColor="text1"/>
          <w:sz w:val="24"/>
          <w:lang w:eastAsia="zh-CN"/>
          <w14:textFill>
            <w14:solidFill>
              <w14:schemeClr w14:val="tx1"/>
            </w14:solidFill>
          </w14:textFill>
        </w:rPr>
        <w:t>议</w:t>
      </w:r>
      <w:r>
        <w:rPr>
          <w:bCs/>
          <w:color w:val="000000" w:themeColor="text1"/>
          <w:sz w:val="24"/>
          <w:lang w:eastAsia="zh-CN"/>
          <w14:textFill>
            <w14:solidFill>
              <w14:schemeClr w14:val="tx1"/>
            </w14:solidFill>
          </w14:textFill>
        </w:rPr>
        <w:t>；</w:t>
      </w:r>
    </w:p>
    <w:p w14:paraId="0EFF93D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（22）</w:t>
      </w:r>
      <w:bookmarkStart w:id="103" w:name="_Toc523711670"/>
      <w:r>
        <w:rPr>
          <w:bCs/>
          <w:color w:val="000000" w:themeColor="text1"/>
          <w:sz w:val="24"/>
          <w:lang w:eastAsia="zh-CN"/>
          <w14:textFill>
            <w14:solidFill>
              <w14:schemeClr w14:val="tx1"/>
            </w14:solidFill>
          </w14:textFill>
        </w:rPr>
        <w:t>法律法规及中国证监会规定的和《基金合同》约定的其他义务。</w:t>
      </w:r>
    </w:p>
    <w:bookmarkEnd w:id="103"/>
    <w:p w14:paraId="76501F3D">
      <w:pPr>
        <w:spacing w:line="360" w:lineRule="auto"/>
        <w:ind w:firstLine="480" w:firstLineChars="200"/>
        <w:rPr>
          <w:bCs/>
          <w:color w:val="000000" w:themeColor="text1"/>
          <w:sz w:val="24"/>
          <w:lang w:eastAsia="zh-CN"/>
          <w14:textFill>
            <w14:solidFill>
              <w14:schemeClr w14:val="tx1"/>
            </w14:solidFill>
          </w14:textFill>
        </w:rPr>
      </w:pPr>
      <w:bookmarkStart w:id="104" w:name="_Toc79392582"/>
      <w:r>
        <w:rPr>
          <w:bCs/>
          <w:color w:val="000000" w:themeColor="text1"/>
          <w:sz w:val="24"/>
          <w:lang w:eastAsia="zh-CN"/>
          <w14:textFill>
            <w14:solidFill>
              <w14:schemeClr w14:val="tx1"/>
            </w14:solidFill>
          </w14:textFill>
        </w:rPr>
        <w:t>三、基金份额持有人</w:t>
      </w:r>
      <w:bookmarkEnd w:id="104"/>
    </w:p>
    <w:p w14:paraId="38EE1A7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基金投资者</w:t>
      </w:r>
      <w:r>
        <w:rPr>
          <w:rFonts w:hint="eastAsia"/>
          <w:bCs/>
          <w:color w:val="000000" w:themeColor="text1"/>
          <w:sz w:val="24"/>
          <w:lang w:eastAsia="zh-CN"/>
          <w14:textFill>
            <w14:solidFill>
              <w14:schemeClr w14:val="tx1"/>
            </w14:solidFill>
          </w14:textFill>
        </w:rPr>
        <w:t>持有</w:t>
      </w:r>
      <w:r>
        <w:rPr>
          <w:bCs/>
          <w:color w:val="000000" w:themeColor="text1"/>
          <w:sz w:val="24"/>
          <w:lang w:eastAsia="zh-CN"/>
          <w14:textFill>
            <w14:solidFill>
              <w14:schemeClr w14:val="tx1"/>
            </w14:solidFill>
          </w14:textFill>
        </w:rPr>
        <w:t>本基金</w:t>
      </w:r>
      <w:bookmarkStart w:id="105" w:name="_Hlt88899909"/>
      <w:bookmarkEnd w:id="105"/>
      <w:r>
        <w:rPr>
          <w:bCs/>
          <w:color w:val="000000" w:themeColor="text1"/>
          <w:sz w:val="24"/>
          <w:lang w:eastAsia="zh-CN"/>
          <w14:textFill>
            <w14:solidFill>
              <w14:schemeClr w14:val="tx1"/>
            </w14:solidFill>
          </w14:textFill>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44DE667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每份基金份额具有同等的合法权益。</w:t>
      </w:r>
    </w:p>
    <w:p w14:paraId="332004A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1、根据《基金法》、《运作办法》及其他有关规定，基金份额持有人的权利包括但不限于：</w:t>
      </w:r>
    </w:p>
    <w:p w14:paraId="564CF94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（1）分享基金财产收益；</w:t>
      </w:r>
    </w:p>
    <w:p w14:paraId="34966BA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（2）参与分配清算后的剩余基金财产；</w:t>
      </w:r>
      <w:bookmarkStart w:id="106" w:name="_Hlt88825574"/>
      <w:bookmarkEnd w:id="106"/>
    </w:p>
    <w:p w14:paraId="7F87540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（3）依法</w:t>
      </w:r>
      <w:r>
        <w:rPr>
          <w:rFonts w:hint="eastAsia"/>
          <w:bCs/>
          <w:color w:val="000000" w:themeColor="text1"/>
          <w:sz w:val="24"/>
          <w:lang w:eastAsia="zh-CN"/>
          <w14:textFill>
            <w14:solidFill>
              <w14:schemeClr w14:val="tx1"/>
            </w14:solidFill>
          </w14:textFill>
        </w:rPr>
        <w:t>转让或者在开放期内</w:t>
      </w:r>
      <w:r>
        <w:rPr>
          <w:bCs/>
          <w:color w:val="000000" w:themeColor="text1"/>
          <w:sz w:val="24"/>
          <w:lang w:eastAsia="zh-CN"/>
          <w14:textFill>
            <w14:solidFill>
              <w14:schemeClr w14:val="tx1"/>
            </w14:solidFill>
          </w14:textFill>
        </w:rPr>
        <w:t>申请赎回其持有的基金份额；</w:t>
      </w:r>
    </w:p>
    <w:p w14:paraId="5F26701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（4）按照规定要求召开基金份额持有人大会或者召集基金份额持有人大会；</w:t>
      </w:r>
    </w:p>
    <w:p w14:paraId="6B029D7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（5）出席或者委派代表出席基金份额持有人大会，对基金份额持有人大会审议事项行使表决权；</w:t>
      </w:r>
    </w:p>
    <w:p w14:paraId="402EE02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（6）查阅或者复制公开披露的基金信息资料；</w:t>
      </w:r>
    </w:p>
    <w:p w14:paraId="3BE0971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（7）监督基金管理人的投资运作；</w:t>
      </w:r>
    </w:p>
    <w:p w14:paraId="2887E45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（8）对基金管理人、基金托管人、基金</w:t>
      </w:r>
      <w:r>
        <w:rPr>
          <w:rFonts w:hint="eastAsia"/>
          <w:bCs/>
          <w:color w:val="000000" w:themeColor="text1"/>
          <w:sz w:val="24"/>
          <w:lang w:eastAsia="zh-CN"/>
          <w14:textFill>
            <w14:solidFill>
              <w14:schemeClr w14:val="tx1"/>
            </w14:solidFill>
          </w14:textFill>
        </w:rPr>
        <w:t>服务</w:t>
      </w:r>
      <w:r>
        <w:rPr>
          <w:bCs/>
          <w:color w:val="000000" w:themeColor="text1"/>
          <w:sz w:val="24"/>
          <w:lang w:eastAsia="zh-CN"/>
          <w14:textFill>
            <w14:solidFill>
              <w14:schemeClr w14:val="tx1"/>
            </w14:solidFill>
          </w14:textFill>
        </w:rPr>
        <w:t>机构损害其合法权益的行为依法提起诉讼或仲裁；</w:t>
      </w:r>
    </w:p>
    <w:p w14:paraId="24E0B2A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（9）法律法规及中国证监会规定的和《基金合同》约定的其他权利。</w:t>
      </w:r>
    </w:p>
    <w:p w14:paraId="7E66A86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2、根据《基金法》、《运作办法》及其他有关规定，基金份额持有人的义务包括但不限于：</w:t>
      </w:r>
    </w:p>
    <w:p w14:paraId="57A3F0D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（1）认真阅读并遵守《基金合同》</w:t>
      </w:r>
      <w:r>
        <w:rPr>
          <w:rFonts w:hint="eastAsia"/>
          <w:bCs/>
          <w:color w:val="000000" w:themeColor="text1"/>
          <w:sz w:val="24"/>
          <w:szCs w:val="24"/>
          <w:lang w:eastAsia="zh-CN"/>
          <w14:textFill>
            <w14:solidFill>
              <w14:schemeClr w14:val="tx1"/>
            </w14:solidFill>
          </w14:textFill>
        </w:rPr>
        <w:t>、招募说明书等信息披露文件</w:t>
      </w:r>
      <w:r>
        <w:rPr>
          <w:bCs/>
          <w:color w:val="000000" w:themeColor="text1"/>
          <w:sz w:val="24"/>
          <w:lang w:eastAsia="zh-CN"/>
          <w14:textFill>
            <w14:solidFill>
              <w14:schemeClr w14:val="tx1"/>
            </w14:solidFill>
          </w14:textFill>
        </w:rPr>
        <w:t>；</w:t>
      </w:r>
    </w:p>
    <w:p w14:paraId="2D3806B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（2）了解所投资基金产品，了解自身风险承受能力，自主判断基金的投资价值，自主做出投资决策，自行承担投资风险；</w:t>
      </w:r>
    </w:p>
    <w:p w14:paraId="34E0D62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（3）关注基金信息披露，及时行使权利和履行义务；</w:t>
      </w:r>
    </w:p>
    <w:p w14:paraId="6CB394D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交纳</w:t>
      </w:r>
      <w:r>
        <w:rPr>
          <w:bCs/>
          <w:color w:val="000000" w:themeColor="text1"/>
          <w:sz w:val="24"/>
          <w:lang w:eastAsia="zh-CN"/>
          <w14:textFill>
            <w14:solidFill>
              <w14:schemeClr w14:val="tx1"/>
            </w14:solidFill>
          </w14:textFill>
        </w:rPr>
        <w:t>基金认购、申购款项及法律法规和《基金合同》所规定的费用；</w:t>
      </w:r>
    </w:p>
    <w:p w14:paraId="6E15CDA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（5）在其持有的基金份额范围内，承担基金亏损或者《基金合同》终止的有限责任；</w:t>
      </w:r>
    </w:p>
    <w:p w14:paraId="5FF2CE4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（6）不从事任何有损基金及其他《基金合同》当事人合法权益的活动；</w:t>
      </w:r>
    </w:p>
    <w:p w14:paraId="2A112E6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（7）执行生效的基金份额持有人大会的决</w:t>
      </w:r>
      <w:r>
        <w:rPr>
          <w:rFonts w:hint="eastAsia"/>
          <w:bCs/>
          <w:color w:val="000000" w:themeColor="text1"/>
          <w:sz w:val="24"/>
          <w:lang w:eastAsia="zh-CN"/>
          <w14:textFill>
            <w14:solidFill>
              <w14:schemeClr w14:val="tx1"/>
            </w14:solidFill>
          </w14:textFill>
        </w:rPr>
        <w:t>议</w:t>
      </w:r>
      <w:r>
        <w:rPr>
          <w:bCs/>
          <w:color w:val="000000" w:themeColor="text1"/>
          <w:sz w:val="24"/>
          <w:lang w:eastAsia="zh-CN"/>
          <w14:textFill>
            <w14:solidFill>
              <w14:schemeClr w14:val="tx1"/>
            </w14:solidFill>
          </w14:textFill>
        </w:rPr>
        <w:t>；</w:t>
      </w:r>
    </w:p>
    <w:p w14:paraId="70BE6E1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（8）返还在基金交易过程中因任何原因获得的不当得利；</w:t>
      </w:r>
    </w:p>
    <w:p w14:paraId="0D6507F9">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9</w:t>
      </w:r>
      <w:r>
        <w:rPr>
          <w:rFonts w:hint="eastAsia"/>
          <w:bCs/>
          <w:color w:val="000000" w:themeColor="text1"/>
          <w:sz w:val="24"/>
          <w:lang w:eastAsia="zh-CN"/>
          <w14:textFill>
            <w14:solidFill>
              <w14:schemeClr w14:val="tx1"/>
            </w14:solidFill>
          </w14:textFill>
        </w:rPr>
        <w:t>）提供基金管理人和监管机构依法要求提供的信息，以及不时地更新和补充，并保证其真实性；</w:t>
      </w:r>
    </w:p>
    <w:p w14:paraId="1D6B658B">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1</w:t>
      </w:r>
      <w:r>
        <w:rPr>
          <w:bCs/>
          <w:color w:val="000000" w:themeColor="text1"/>
          <w:sz w:val="24"/>
          <w:lang w:eastAsia="zh-CN"/>
          <w14:textFill>
            <w14:solidFill>
              <w14:schemeClr w14:val="tx1"/>
            </w14:solidFill>
          </w14:textFill>
        </w:rPr>
        <w:t>0）法律法规及中国证监会规定的和《基金合同》约定的其他义务。</w:t>
      </w:r>
    </w:p>
    <w:p w14:paraId="345E4E02">
      <w:pPr>
        <w:adjustRightInd w:val="0"/>
        <w:snapToGrid w:val="0"/>
        <w:spacing w:line="360" w:lineRule="auto"/>
        <w:ind w:firstLine="480" w:firstLineChars="200"/>
        <w:rPr>
          <w:bCs/>
          <w:sz w:val="24"/>
          <w:lang w:eastAsia="zh-CN"/>
        </w:rPr>
      </w:pPr>
      <w:r>
        <w:rPr>
          <w:rFonts w:hint="eastAsia"/>
          <w:bCs/>
          <w:sz w:val="24"/>
          <w:lang w:eastAsia="zh-CN"/>
        </w:rPr>
        <w:t>二、基金份额持有人大会召集、议事及表决的程序和规则</w:t>
      </w:r>
    </w:p>
    <w:p w14:paraId="5CEE1C7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基金份额持有人大会由基金份额持有人组成，基金份额持有人的合法授权代表有权代表基金份额持有人出席会议并表决。基金份额持有人持有的每一基金份额拥有平等的投票权。</w:t>
      </w:r>
    </w:p>
    <w:p w14:paraId="272FDDA5">
      <w:pPr>
        <w:adjustRightInd w:val="0"/>
        <w:snapToGrid w:val="0"/>
        <w:spacing w:line="360" w:lineRule="auto"/>
        <w:ind w:firstLine="480" w:firstLineChars="200"/>
        <w:rPr>
          <w:bCs/>
          <w:sz w:val="24"/>
          <w:lang w:eastAsia="zh-CN"/>
        </w:rPr>
      </w:pPr>
      <w:r>
        <w:rPr>
          <w:rFonts w:hint="eastAsia"/>
          <w:bCs/>
          <w:color w:val="000000" w:themeColor="text1"/>
          <w:sz w:val="24"/>
          <w:lang w:eastAsia="zh-CN"/>
          <w14:textFill>
            <w14:solidFill>
              <w14:schemeClr w14:val="tx1"/>
            </w14:solidFill>
          </w14:textFill>
        </w:rPr>
        <w:t>本基金份额持有人大会不设日常机构。</w:t>
      </w:r>
    </w:p>
    <w:p w14:paraId="60F7E467">
      <w:pPr>
        <w:adjustRightInd w:val="0"/>
        <w:snapToGrid w:val="0"/>
        <w:spacing w:line="360" w:lineRule="auto"/>
        <w:ind w:firstLine="480" w:firstLineChars="200"/>
        <w:rPr>
          <w:bCs/>
          <w:sz w:val="24"/>
          <w:lang w:eastAsia="zh-CN"/>
        </w:rPr>
      </w:pPr>
      <w:r>
        <w:rPr>
          <w:rFonts w:hint="eastAsia"/>
          <w:bCs/>
          <w:sz w:val="24"/>
          <w:lang w:eastAsia="zh-CN"/>
        </w:rPr>
        <w:t>（一）召开事由</w:t>
      </w:r>
    </w:p>
    <w:p w14:paraId="0C9E500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1、当出现或需要决定下列事由之一的，应当召开基金份额持有人大会</w:t>
      </w:r>
      <w:r>
        <w:rPr>
          <w:rFonts w:hint="eastAsia"/>
          <w:bCs/>
          <w:color w:val="000000" w:themeColor="text1"/>
          <w:sz w:val="24"/>
          <w:lang w:eastAsia="zh-CN"/>
          <w14:textFill>
            <w14:solidFill>
              <w14:schemeClr w14:val="tx1"/>
            </w14:solidFill>
          </w14:textFill>
        </w:rPr>
        <w:t>，法律法规或中国证监会另有规定或基金合同另有约定的除外</w:t>
      </w:r>
      <w:r>
        <w:rPr>
          <w:bCs/>
          <w:color w:val="000000" w:themeColor="text1"/>
          <w:sz w:val="24"/>
          <w:lang w:eastAsia="zh-CN"/>
          <w14:textFill>
            <w14:solidFill>
              <w14:schemeClr w14:val="tx1"/>
            </w14:solidFill>
          </w14:textFill>
        </w:rPr>
        <w:t>：</w:t>
      </w:r>
    </w:p>
    <w:p w14:paraId="6778B668">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（1）终止《基金合同》；</w:t>
      </w:r>
    </w:p>
    <w:p w14:paraId="0E6ADFCF">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（2）更换基金管理人；</w:t>
      </w:r>
    </w:p>
    <w:p w14:paraId="4FBA9A4D">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（3）更换基金托管人；</w:t>
      </w:r>
    </w:p>
    <w:p w14:paraId="3B4773EB">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（4）转换基金运作方式</w:t>
      </w:r>
      <w:r>
        <w:rPr>
          <w:rFonts w:hint="eastAsia"/>
          <w:bCs/>
          <w:color w:val="000000" w:themeColor="text1"/>
          <w:sz w:val="24"/>
          <w:lang w:eastAsia="zh-CN"/>
          <w14:textFill>
            <w14:solidFill>
              <w14:schemeClr w14:val="tx1"/>
            </w14:solidFill>
          </w14:textFill>
        </w:rPr>
        <w:t>（不包括本基金开放期与封闭期运作方式的转换）</w:t>
      </w:r>
      <w:r>
        <w:rPr>
          <w:bCs/>
          <w:color w:val="000000" w:themeColor="text1"/>
          <w:sz w:val="24"/>
          <w:lang w:eastAsia="zh-CN"/>
          <w14:textFill>
            <w14:solidFill>
              <w14:schemeClr w14:val="tx1"/>
            </w14:solidFill>
          </w14:textFill>
        </w:rPr>
        <w:t>；</w:t>
      </w:r>
    </w:p>
    <w:p w14:paraId="5A4CE3CE">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调整</w:t>
      </w:r>
      <w:r>
        <w:rPr>
          <w:bCs/>
          <w:color w:val="000000" w:themeColor="text1"/>
          <w:sz w:val="24"/>
          <w:lang w:eastAsia="zh-CN"/>
          <w14:textFill>
            <w14:solidFill>
              <w14:schemeClr w14:val="tx1"/>
            </w14:solidFill>
          </w14:textFill>
        </w:rPr>
        <w:t>基金管理人、基金托管人的报酬标准；</w:t>
      </w:r>
    </w:p>
    <w:p w14:paraId="53609C37">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（6）变更基金类别；</w:t>
      </w:r>
    </w:p>
    <w:p w14:paraId="164419EF">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（7）本基金与其他基金的合并；</w:t>
      </w:r>
    </w:p>
    <w:p w14:paraId="0C946410">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（8）变更基金投资目标、范围或策略；</w:t>
      </w:r>
    </w:p>
    <w:p w14:paraId="22859750">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（9）变更基金份额持有人大会程序；</w:t>
      </w:r>
    </w:p>
    <w:p w14:paraId="25080C98">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（10）基金管理人或基金托管人要求召开基金份额持有人大会；</w:t>
      </w:r>
    </w:p>
    <w:p w14:paraId="6B30CC0C">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（11）单独或合计持有本基金总份额10%以上（含10%）基金份额的基金份额持有人（以基金管理人收到提议当日的基金份额计算，下同）就同一事项书面要求召开基金份额持有人大会；</w:t>
      </w:r>
    </w:p>
    <w:p w14:paraId="50CCF282">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（12）对基金</w:t>
      </w:r>
      <w:r>
        <w:rPr>
          <w:rFonts w:hint="eastAsia"/>
          <w:bCs/>
          <w:color w:val="000000" w:themeColor="text1"/>
          <w:sz w:val="24"/>
          <w:lang w:eastAsia="zh-CN"/>
          <w14:textFill>
            <w14:solidFill>
              <w14:schemeClr w14:val="tx1"/>
            </w14:solidFill>
          </w14:textFill>
        </w:rPr>
        <w:t>合同</w:t>
      </w:r>
      <w:r>
        <w:rPr>
          <w:bCs/>
          <w:color w:val="000000" w:themeColor="text1"/>
          <w:sz w:val="24"/>
          <w:lang w:eastAsia="zh-CN"/>
          <w14:textFill>
            <w14:solidFill>
              <w14:schemeClr w14:val="tx1"/>
            </w14:solidFill>
          </w14:textFill>
        </w:rPr>
        <w:t>当事人权利和义务产生重大影响的其他事项；</w:t>
      </w:r>
    </w:p>
    <w:p w14:paraId="2C9B5717">
      <w:pPr>
        <w:spacing w:line="440" w:lineRule="atLeast"/>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（13）法律法规、《基金合同》或中国证监会规定的其他应当召开基金份额持有人大会的事项。</w:t>
      </w:r>
    </w:p>
    <w:p w14:paraId="02CAD98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2、在法律法规</w:t>
      </w:r>
      <w:r>
        <w:rPr>
          <w:rFonts w:hint="eastAsia"/>
          <w:bCs/>
          <w:color w:val="000000" w:themeColor="text1"/>
          <w:sz w:val="24"/>
          <w:lang w:eastAsia="zh-CN"/>
          <w14:textFill>
            <w14:solidFill>
              <w14:schemeClr w14:val="tx1"/>
            </w14:solidFill>
          </w14:textFill>
        </w:rPr>
        <w:t>规定</w:t>
      </w:r>
      <w:r>
        <w:rPr>
          <w:bCs/>
          <w:color w:val="000000" w:themeColor="text1"/>
          <w:sz w:val="24"/>
          <w:lang w:eastAsia="zh-CN"/>
          <w14:textFill>
            <w14:solidFill>
              <w14:schemeClr w14:val="tx1"/>
            </w14:solidFill>
          </w14:textFill>
        </w:rPr>
        <w:t>和《基金合同》</w:t>
      </w:r>
      <w:r>
        <w:rPr>
          <w:rFonts w:hint="eastAsia"/>
          <w:bCs/>
          <w:color w:val="000000" w:themeColor="text1"/>
          <w:sz w:val="24"/>
          <w:lang w:eastAsia="zh-CN"/>
          <w14:textFill>
            <w14:solidFill>
              <w14:schemeClr w14:val="tx1"/>
            </w14:solidFill>
          </w14:textFill>
        </w:rPr>
        <w:t>约</w:t>
      </w:r>
      <w:r>
        <w:rPr>
          <w:bCs/>
          <w:color w:val="000000" w:themeColor="text1"/>
          <w:sz w:val="24"/>
          <w:lang w:eastAsia="zh-CN"/>
          <w14:textFill>
            <w14:solidFill>
              <w14:schemeClr w14:val="tx1"/>
            </w14:solidFill>
          </w14:textFill>
        </w:rPr>
        <w:t>定的范围内且对基金份额持有人利益无实质性不利影响的前提下</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以下情况可由基金管理人和基金托管人协商后修改，不需召开基金份额持有人大会：</w:t>
      </w:r>
    </w:p>
    <w:p w14:paraId="31C4ABC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1</w:t>
      </w:r>
      <w:r>
        <w:rPr>
          <w:bCs/>
          <w:color w:val="000000" w:themeColor="text1"/>
          <w:sz w:val="24"/>
          <w:lang w:eastAsia="zh-CN"/>
          <w14:textFill>
            <w14:solidFill>
              <w14:schemeClr w14:val="tx1"/>
            </w14:solidFill>
          </w14:textFill>
        </w:rPr>
        <w:t>）法律法规要求增加的基金费用的收取；</w:t>
      </w:r>
    </w:p>
    <w:p w14:paraId="71DD8D0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）调整本基金的申购费率、调低赎回费率</w:t>
      </w:r>
      <w:r>
        <w:rPr>
          <w:rFonts w:hint="eastAsia"/>
          <w:bCs/>
          <w:color w:val="000000" w:themeColor="text1"/>
          <w:sz w:val="24"/>
          <w:szCs w:val="24"/>
          <w:lang w:eastAsia="zh-CN"/>
          <w14:textFill>
            <w14:solidFill>
              <w14:schemeClr w14:val="tx1"/>
            </w14:solidFill>
          </w14:textFill>
        </w:rPr>
        <w:t>、</w:t>
      </w:r>
      <w:r>
        <w:rPr>
          <w:rFonts w:hint="eastAsia"/>
          <w:color w:val="000000" w:themeColor="text1"/>
          <w:sz w:val="24"/>
          <w:szCs w:val="24"/>
          <w:lang w:eastAsia="zh-CN"/>
          <w14:textFill>
            <w14:solidFill>
              <w14:schemeClr w14:val="tx1"/>
            </w14:solidFill>
          </w14:textFill>
        </w:rPr>
        <w:t>变更收费方式等或调整基金份额类别的设置</w:t>
      </w:r>
      <w:r>
        <w:rPr>
          <w:bCs/>
          <w:color w:val="000000" w:themeColor="text1"/>
          <w:sz w:val="24"/>
          <w:lang w:eastAsia="zh-CN"/>
          <w14:textFill>
            <w14:solidFill>
              <w14:schemeClr w14:val="tx1"/>
            </w14:solidFill>
          </w14:textFill>
        </w:rPr>
        <w:t>；</w:t>
      </w:r>
    </w:p>
    <w:p w14:paraId="40F9BF2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）因相应的法律法规发生变动而应当对《基金合同》进行修改；</w:t>
      </w:r>
    </w:p>
    <w:p w14:paraId="6ACE9D5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4</w:t>
      </w:r>
      <w:r>
        <w:rPr>
          <w:bCs/>
          <w:color w:val="000000" w:themeColor="text1"/>
          <w:sz w:val="24"/>
          <w:lang w:eastAsia="zh-CN"/>
          <w14:textFill>
            <w14:solidFill>
              <w14:schemeClr w14:val="tx1"/>
            </w14:solidFill>
          </w14:textFill>
        </w:rPr>
        <w:t>）对《基金合同》的修改对基金份额持有人利益无实质性不利影响或修改不涉及《基金合同》当事人权利义务关系发生重大变化；</w:t>
      </w:r>
    </w:p>
    <w:p w14:paraId="5DE2C5D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调整有关基金认购、申购、赎回、转换、非交易过户、转托管等业务的规则；</w:t>
      </w:r>
    </w:p>
    <w:p w14:paraId="319350ED">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（6）按照法律法规和《基金合同》规定不需召开基金份额持有人大会的其他情形。</w:t>
      </w:r>
    </w:p>
    <w:p w14:paraId="4A492719">
      <w:pPr>
        <w:adjustRightInd w:val="0"/>
        <w:snapToGrid w:val="0"/>
        <w:spacing w:line="360" w:lineRule="auto"/>
        <w:ind w:firstLine="480" w:firstLineChars="200"/>
        <w:rPr>
          <w:rFonts w:asciiTheme="minorEastAsia" w:hAnsiTheme="minorEastAsia" w:eastAsiaTheme="minorEastAsia"/>
          <w:bCs/>
          <w:sz w:val="24"/>
          <w:szCs w:val="24"/>
          <w:lang w:eastAsia="zh-CN"/>
        </w:rPr>
      </w:pPr>
      <w:r>
        <w:rPr>
          <w:rFonts w:asciiTheme="minorEastAsia" w:hAnsiTheme="minorEastAsia" w:eastAsiaTheme="minorEastAsia"/>
          <w:bCs/>
          <w:sz w:val="24"/>
          <w:szCs w:val="24"/>
          <w:lang w:eastAsia="zh-CN"/>
        </w:rPr>
        <w:t>（二）会议召集人及召集方式</w:t>
      </w:r>
    </w:p>
    <w:p w14:paraId="156ACCE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1、除法律法规规定或《基金合同》另有约定外，基金份额持有人大会由基金管理人召集；</w:t>
      </w:r>
    </w:p>
    <w:p w14:paraId="05E8285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2、基金管理人未按规定召集或不能召</w:t>
      </w:r>
      <w:r>
        <w:rPr>
          <w:rFonts w:hint="eastAsia"/>
          <w:bCs/>
          <w:color w:val="000000" w:themeColor="text1"/>
          <w:sz w:val="24"/>
          <w:lang w:eastAsia="zh-CN"/>
          <w14:textFill>
            <w14:solidFill>
              <w14:schemeClr w14:val="tx1"/>
            </w14:solidFill>
          </w14:textFill>
        </w:rPr>
        <w:t>集</w:t>
      </w:r>
      <w:r>
        <w:rPr>
          <w:bCs/>
          <w:color w:val="000000" w:themeColor="text1"/>
          <w:sz w:val="24"/>
          <w:lang w:eastAsia="zh-CN"/>
          <w14:textFill>
            <w14:solidFill>
              <w14:schemeClr w14:val="tx1"/>
            </w14:solidFill>
          </w14:textFill>
        </w:rPr>
        <w:t>时，由基金托管人召集；</w:t>
      </w:r>
    </w:p>
    <w:p w14:paraId="3D46E6C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 xml:space="preserve">3、基金托管人认为有必要召开基金份额持有人大会的，应当向基金管理人提出书面提议。基金管理人应当自收到书面提议之日起 </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日内决定是否召集，并书面告知基金托管人。基金管理人决定召集的，应当自出具书面决定之日起</w:t>
      </w:r>
      <w:r>
        <w:rPr>
          <w:rFonts w:hint="eastAsia"/>
          <w:bCs/>
          <w:color w:val="000000" w:themeColor="text1"/>
          <w:sz w:val="24"/>
          <w:lang w:eastAsia="zh-CN"/>
          <w14:textFill>
            <w14:solidFill>
              <w14:schemeClr w14:val="tx1"/>
            </w14:solidFill>
          </w14:textFill>
        </w:rPr>
        <w:t>60</w:t>
      </w:r>
      <w:r>
        <w:rPr>
          <w:bCs/>
          <w:color w:val="000000" w:themeColor="text1"/>
          <w:sz w:val="24"/>
          <w:lang w:eastAsia="zh-CN"/>
          <w14:textFill>
            <w14:solidFill>
              <w14:schemeClr w14:val="tx1"/>
            </w14:solidFill>
          </w14:textFill>
        </w:rPr>
        <w:t>日内召开；基金管理人决定不召集，基金托管人仍认为有必要召开的，应当由基金托管人自行召集，并自出具书面决定之日起60日内召开并告知基金管理人，基金管理人应当配合。</w:t>
      </w:r>
    </w:p>
    <w:p w14:paraId="685F34B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4、代表基金份额</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以上（含</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）的基金份额持有人就同一事项书面要求召开基金份额持有人大会，应当向基金管理人提出书面提议。基金管理人应当自收到书面提议之日起</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日内决定是否召集，并书面告知提出提议的基金份额持有人代表和基金托管人。基金管理人决定召集的，应当自出具书面决定之日起</w:t>
      </w:r>
    </w:p>
    <w:p w14:paraId="2D7D057C">
      <w:pPr>
        <w:spacing w:line="360" w:lineRule="auto"/>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60</w:t>
      </w:r>
      <w:r>
        <w:rPr>
          <w:bCs/>
          <w:color w:val="000000" w:themeColor="text1"/>
          <w:sz w:val="24"/>
          <w:lang w:eastAsia="zh-CN"/>
          <w14:textFill>
            <w14:solidFill>
              <w14:schemeClr w14:val="tx1"/>
            </w14:solidFill>
          </w14:textFill>
        </w:rPr>
        <w:t>日内召开；基金管理人决定不召集，代表基金份额</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以上（含</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）的基金份额持有人仍认为有必要召开的，应当向基金托管人提出书面提议。基金托管人应当自收到书面提议之日起</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日内决定是否召集，并书面告知提出提议的基金份额持有人代表和基金管理人；基金托管人决定召集的，应当自出具书面决定之日起60日内召开。并告知基金管理人，基金管理人应当配合。</w:t>
      </w:r>
    </w:p>
    <w:p w14:paraId="099119B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5、代表基金份额</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以上（含</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）的基金份额持有人就同一事项要求召开基金份额持有人大会，而基金管理人、基金托管人都不召集的，单独或合计代表基金份额</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以上（含</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）的基金份额持有人有权自行召集，并至少提前30日报中国证监会备案。基金份额持有人依法自行召集基金份额持有人大会的，基金管理人、基金托管人应当配合，不得阻碍、干扰。</w:t>
      </w:r>
    </w:p>
    <w:p w14:paraId="01440E15">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6、基金份额持有人会议的召集人负责选择确定开会时间、地点、方式和权益登记日。</w:t>
      </w:r>
    </w:p>
    <w:p w14:paraId="0BCACF8B">
      <w:pPr>
        <w:adjustRightInd w:val="0"/>
        <w:snapToGrid w:val="0"/>
        <w:spacing w:line="360" w:lineRule="auto"/>
        <w:ind w:firstLine="480" w:firstLineChars="200"/>
        <w:rPr>
          <w:bCs/>
          <w:sz w:val="24"/>
          <w:lang w:eastAsia="zh-CN"/>
        </w:rPr>
      </w:pPr>
      <w:r>
        <w:rPr>
          <w:rFonts w:hint="eastAsia"/>
          <w:bCs/>
          <w:sz w:val="24"/>
          <w:lang w:eastAsia="zh-CN"/>
        </w:rPr>
        <w:t>（三）召开基金份额持有人大会的通知时间、通知内容、通知方式</w:t>
      </w:r>
    </w:p>
    <w:p w14:paraId="1C17464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1、召开基金份额持有人大会，召集人应于会议召开前</w:t>
      </w:r>
      <w:r>
        <w:rPr>
          <w:rFonts w:hint="eastAsia"/>
          <w:bCs/>
          <w:color w:val="000000" w:themeColor="text1"/>
          <w:sz w:val="24"/>
          <w:lang w:eastAsia="zh-CN"/>
          <w14:textFill>
            <w14:solidFill>
              <w14:schemeClr w14:val="tx1"/>
            </w14:solidFill>
          </w14:textFill>
        </w:rPr>
        <w:t>30</w:t>
      </w:r>
      <w:r>
        <w:rPr>
          <w:bCs/>
          <w:color w:val="000000" w:themeColor="text1"/>
          <w:sz w:val="24"/>
          <w:lang w:eastAsia="zh-CN"/>
          <w14:textFill>
            <w14:solidFill>
              <w14:schemeClr w14:val="tx1"/>
            </w14:solidFill>
          </w14:textFill>
        </w:rPr>
        <w:t>日，在</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公告。基金份额持有人大会通知应至少载明以下内容：</w:t>
      </w:r>
    </w:p>
    <w:p w14:paraId="09798F9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（1）会议召开的时间、地点和会议形式；</w:t>
      </w:r>
    </w:p>
    <w:p w14:paraId="635AA31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（2）会议拟审议的事项、议事程序和表决方式；</w:t>
      </w:r>
    </w:p>
    <w:p w14:paraId="7165A1A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（3）有权出席基金份额持有人大会的基金份额持有人的权益登记日；</w:t>
      </w:r>
    </w:p>
    <w:p w14:paraId="3D2F7C6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（4）授权委托证明的内容要求（包括但不限于代理人身份，代理权限和代理有效期限等）、送达时间和地点;</w:t>
      </w:r>
    </w:p>
    <w:p w14:paraId="47FA12E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（5）会务常设联系人姓名及联系电话；</w:t>
      </w:r>
    </w:p>
    <w:p w14:paraId="7D22B69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（6）出席会议者必须准备的文件和必须履行的手续；</w:t>
      </w:r>
    </w:p>
    <w:p w14:paraId="4C18BD0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（7）召集人需要通知的其他事项。</w:t>
      </w:r>
    </w:p>
    <w:p w14:paraId="5D0B751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122B4501">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4D18D9E9">
      <w:pPr>
        <w:adjustRightInd w:val="0"/>
        <w:snapToGrid w:val="0"/>
        <w:spacing w:line="360" w:lineRule="auto"/>
        <w:ind w:firstLine="480" w:firstLineChars="200"/>
        <w:rPr>
          <w:bCs/>
          <w:sz w:val="24"/>
          <w:lang w:eastAsia="zh-CN"/>
        </w:rPr>
      </w:pPr>
      <w:r>
        <w:rPr>
          <w:rFonts w:hint="eastAsia"/>
          <w:bCs/>
          <w:sz w:val="24"/>
          <w:lang w:eastAsia="zh-CN"/>
        </w:rPr>
        <w:t>（四）基金份额持有人出席会议的方式</w:t>
      </w:r>
    </w:p>
    <w:p w14:paraId="05430D1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基金份额持有人大会可通过现场开会方式</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通讯开会方式或法律法规、监管机构允许的其他方式召开，会议的召开方式由会议召集人确定。</w:t>
      </w:r>
    </w:p>
    <w:p w14:paraId="26F52F4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1、现场开会。由基金份额持有人本人出席或以代理投票授权委托证明委派代表出席，现场开会时基金管理人和基金托管人的授权代表应当列席基金份额持有人大会，基金管理人或</w:t>
      </w:r>
      <w:r>
        <w:rPr>
          <w:rFonts w:hint="eastAsia"/>
          <w:bCs/>
          <w:color w:val="000000" w:themeColor="text1"/>
          <w:sz w:val="24"/>
          <w:lang w:eastAsia="zh-CN"/>
          <w14:textFill>
            <w14:solidFill>
              <w14:schemeClr w14:val="tx1"/>
            </w14:solidFill>
          </w14:textFill>
        </w:rPr>
        <w:t>基金</w:t>
      </w:r>
      <w:r>
        <w:rPr>
          <w:bCs/>
          <w:color w:val="000000" w:themeColor="text1"/>
          <w:sz w:val="24"/>
          <w:lang w:eastAsia="zh-CN"/>
          <w14:textFill>
            <w14:solidFill>
              <w14:schemeClr w14:val="tx1"/>
            </w14:solidFill>
          </w14:textFill>
        </w:rPr>
        <w:t>托管人不派代表列席的，不影响表决效力。现场开会同时符合以下条件时，可以进行基金份额持有人大会议程：</w:t>
      </w:r>
    </w:p>
    <w:p w14:paraId="1B35F51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1E3903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6C7BE0C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2、通讯开会。通讯开会系指基金份额持有人将其对表决事项的投票以书面形式</w:t>
      </w:r>
      <w:r>
        <w:rPr>
          <w:rFonts w:hint="eastAsia"/>
          <w:bCs/>
          <w:color w:val="000000" w:themeColor="text1"/>
          <w:sz w:val="24"/>
          <w:lang w:eastAsia="zh-CN"/>
          <w14:textFill>
            <w14:solidFill>
              <w14:schemeClr w14:val="tx1"/>
            </w14:solidFill>
          </w14:textFill>
        </w:rPr>
        <w:t>或基金合同约定的其他方式</w:t>
      </w:r>
      <w:r>
        <w:rPr>
          <w:bCs/>
          <w:color w:val="000000" w:themeColor="text1"/>
          <w:sz w:val="24"/>
          <w:lang w:eastAsia="zh-CN"/>
          <w14:textFill>
            <w14:solidFill>
              <w14:schemeClr w14:val="tx1"/>
            </w14:solidFill>
          </w14:textFill>
        </w:rPr>
        <w:t>在表决</w:t>
      </w:r>
      <w:r>
        <w:rPr>
          <w:rFonts w:hint="eastAsia"/>
          <w:bCs/>
          <w:color w:val="000000" w:themeColor="text1"/>
          <w:sz w:val="24"/>
          <w:lang w:eastAsia="zh-CN"/>
          <w14:textFill>
            <w14:solidFill>
              <w14:schemeClr w14:val="tx1"/>
            </w14:solidFill>
          </w14:textFill>
        </w:rPr>
        <w:t>截止</w:t>
      </w:r>
      <w:r>
        <w:rPr>
          <w:bCs/>
          <w:color w:val="000000" w:themeColor="text1"/>
          <w:sz w:val="24"/>
          <w:lang w:eastAsia="zh-CN"/>
          <w14:textFill>
            <w14:solidFill>
              <w14:schemeClr w14:val="tx1"/>
            </w14:solidFill>
          </w14:textFill>
        </w:rPr>
        <w:t>日以前送达至召集人指定的地址。通讯开会应以书面方式</w:t>
      </w:r>
      <w:r>
        <w:rPr>
          <w:rFonts w:hint="eastAsia"/>
          <w:bCs/>
          <w:color w:val="000000" w:themeColor="text1"/>
          <w:sz w:val="24"/>
          <w:lang w:eastAsia="zh-CN"/>
          <w14:textFill>
            <w14:solidFill>
              <w14:schemeClr w14:val="tx1"/>
            </w14:solidFill>
          </w14:textFill>
        </w:rPr>
        <w:t>或基金合同约定的其他方式</w:t>
      </w:r>
      <w:r>
        <w:rPr>
          <w:bCs/>
          <w:color w:val="000000" w:themeColor="text1"/>
          <w:sz w:val="24"/>
          <w:lang w:eastAsia="zh-CN"/>
          <w14:textFill>
            <w14:solidFill>
              <w14:schemeClr w14:val="tx1"/>
            </w14:solidFill>
          </w14:textFill>
        </w:rPr>
        <w:t>进行表决。</w:t>
      </w:r>
    </w:p>
    <w:p w14:paraId="68513054">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在同时符合以下条件时，通讯开会的方式视为有效：</w:t>
      </w:r>
    </w:p>
    <w:p w14:paraId="0441588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（1）会议召集人按《基金合同》约定公布会议通知后，在</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个工作日内连续公布相关提示性公告；</w:t>
      </w:r>
    </w:p>
    <w:p w14:paraId="05152CA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（2）召集人按基金合同</w:t>
      </w:r>
      <w:r>
        <w:rPr>
          <w:rFonts w:hint="eastAsia"/>
          <w:bCs/>
          <w:color w:val="000000" w:themeColor="text1"/>
          <w:sz w:val="24"/>
          <w:lang w:eastAsia="zh-CN"/>
          <w14:textFill>
            <w14:solidFill>
              <w14:schemeClr w14:val="tx1"/>
            </w14:solidFill>
          </w14:textFill>
        </w:rPr>
        <w:t>约</w:t>
      </w:r>
      <w:r>
        <w:rPr>
          <w:bCs/>
          <w:color w:val="000000" w:themeColor="text1"/>
          <w:sz w:val="24"/>
          <w:lang w:eastAsia="zh-CN"/>
          <w14:textFill>
            <w14:solidFill>
              <w14:schemeClr w14:val="tx1"/>
            </w14:solidFill>
          </w14:textFill>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12D4147A">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（3）本人直接出具书面意见或授权他人代表出具书面意见的，基金份额持有人所持有的基金份额不小于在权益登记日基金总份额的</w:t>
      </w:r>
      <w:r>
        <w:rPr>
          <w:rFonts w:hint="eastAsia"/>
          <w:bCs/>
          <w:color w:val="000000" w:themeColor="text1"/>
          <w:sz w:val="24"/>
          <w:lang w:eastAsia="zh-CN"/>
          <w14:textFill>
            <w14:solidFill>
              <w14:schemeClr w14:val="tx1"/>
            </w14:solidFill>
          </w14:textFill>
        </w:rPr>
        <w:t>二分之一（含二分之一）；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r>
        <w:rPr>
          <w:bCs/>
          <w:color w:val="000000" w:themeColor="text1"/>
          <w:sz w:val="24"/>
          <w:lang w:eastAsia="zh-CN"/>
          <w14:textFill>
            <w14:solidFill>
              <w14:schemeClr w14:val="tx1"/>
            </w14:solidFill>
          </w14:textFill>
        </w:rPr>
        <w:t>；</w:t>
      </w:r>
    </w:p>
    <w:p w14:paraId="45469DC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r>
        <w:rPr>
          <w:rFonts w:hint="eastAsia"/>
          <w:bCs/>
          <w:color w:val="000000" w:themeColor="text1"/>
          <w:sz w:val="24"/>
          <w:lang w:eastAsia="zh-CN"/>
          <w14:textFill>
            <w14:solidFill>
              <w14:schemeClr w14:val="tx1"/>
            </w14:solidFill>
          </w14:textFill>
        </w:rPr>
        <w:t>。</w:t>
      </w:r>
    </w:p>
    <w:p w14:paraId="052DAE75">
      <w:pPr>
        <w:spacing w:line="360" w:lineRule="auto"/>
        <w:ind w:firstLine="480" w:firstLineChars="200"/>
        <w:rPr>
          <w:bCs/>
          <w:color w:val="000000" w:themeColor="text1"/>
          <w:sz w:val="24"/>
          <w:szCs w:val="24"/>
          <w:lang w:eastAsia="zh-CN"/>
          <w14:textFill>
            <w14:solidFill>
              <w14:schemeClr w14:val="tx1"/>
            </w14:solidFill>
          </w14:textFill>
        </w:rPr>
      </w:pPr>
      <w:r>
        <w:rPr>
          <w:bCs/>
          <w:color w:val="000000" w:themeColor="text1"/>
          <w:sz w:val="24"/>
          <w:szCs w:val="24"/>
          <w:lang w:eastAsia="zh-CN"/>
          <w14:textFill>
            <w14:solidFill>
              <w14:schemeClr w14:val="tx1"/>
            </w14:solidFill>
          </w14:textFill>
        </w:rPr>
        <w:t>3</w:t>
      </w:r>
      <w:r>
        <w:rPr>
          <w:rFonts w:hint="eastAsia"/>
          <w:bCs/>
          <w:color w:val="000000" w:themeColor="text1"/>
          <w:sz w:val="24"/>
          <w:szCs w:val="24"/>
          <w:lang w:eastAsia="zh-CN"/>
          <w14:textFill>
            <w14:solidFill>
              <w14:schemeClr w14:val="tx1"/>
            </w14:solidFill>
          </w14:textFill>
        </w:rPr>
        <w:t>、在法律法规和监管机关允许的情况下，本基金的基金份额持有人亦可采用网络、电话或其他方式进行表决，或者采用网络、电话或其他方式授权他人代为出席基金份额持有人大会并表决，具体方式由会议召集人确定并在会议通知中列明。</w:t>
      </w:r>
    </w:p>
    <w:p w14:paraId="2879615E">
      <w:pPr>
        <w:adjustRightInd w:val="0"/>
        <w:snapToGrid w:val="0"/>
        <w:spacing w:line="360" w:lineRule="auto"/>
        <w:ind w:firstLine="480" w:firstLineChars="200"/>
        <w:rPr>
          <w:bCs/>
          <w:sz w:val="24"/>
          <w:lang w:eastAsia="zh-CN"/>
        </w:rPr>
      </w:pPr>
      <w:r>
        <w:rPr>
          <w:bCs/>
          <w:color w:val="000000" w:themeColor="text1"/>
          <w:sz w:val="24"/>
          <w:szCs w:val="24"/>
          <w:lang w:eastAsia="zh-CN"/>
          <w14:textFill>
            <w14:solidFill>
              <w14:schemeClr w14:val="tx1"/>
            </w14:solidFill>
          </w14:textFill>
        </w:rPr>
        <w:t>4</w:t>
      </w:r>
      <w:r>
        <w:rPr>
          <w:rFonts w:hint="eastAsia"/>
          <w:color w:val="000000" w:themeColor="text1"/>
          <w:sz w:val="24"/>
          <w:szCs w:val="24"/>
          <w:lang w:eastAsia="zh-CN"/>
          <w14:textFill>
            <w14:solidFill>
              <w14:schemeClr w14:val="tx1"/>
            </w14:solidFill>
          </w14:textFill>
        </w:rPr>
        <w:t>、在会议召开方式上，本基金亦可采用其他非现场方式或者以现场方式与非现场方式相结合的方式召开基金份额持有人大会，会议程序比照现场开会和通讯方式开会的程序进行</w:t>
      </w:r>
      <w:r>
        <w:rPr>
          <w:bCs/>
          <w:color w:val="000000" w:themeColor="text1"/>
          <w:sz w:val="24"/>
          <w:lang w:eastAsia="zh-CN"/>
          <w14:textFill>
            <w14:solidFill>
              <w14:schemeClr w14:val="tx1"/>
            </w14:solidFill>
          </w14:textFill>
        </w:rPr>
        <w:t>。</w:t>
      </w:r>
    </w:p>
    <w:p w14:paraId="604A6CB8">
      <w:pPr>
        <w:adjustRightInd w:val="0"/>
        <w:snapToGrid w:val="0"/>
        <w:spacing w:line="360" w:lineRule="auto"/>
        <w:ind w:firstLine="480" w:firstLineChars="200"/>
        <w:rPr>
          <w:bCs/>
          <w:sz w:val="24"/>
          <w:lang w:eastAsia="zh-CN"/>
        </w:rPr>
      </w:pPr>
      <w:r>
        <w:rPr>
          <w:bCs/>
          <w:sz w:val="24"/>
          <w:lang w:eastAsia="zh-CN"/>
        </w:rPr>
        <w:t>（五）议事内容与程序</w:t>
      </w:r>
    </w:p>
    <w:p w14:paraId="6CE0001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1、议事内容及提案权</w:t>
      </w:r>
    </w:p>
    <w:p w14:paraId="184752E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1C31E75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基金份额持有人大会的召集人发出召集会议的通知后，对原有提案的修改应当在基金份额持有人大会召开前及时公告。</w:t>
      </w:r>
    </w:p>
    <w:p w14:paraId="3D6A165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基金份额持有人大会不得对未事先公告的议事内容进行表决。</w:t>
      </w:r>
    </w:p>
    <w:p w14:paraId="422C6E4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2、议事程序</w:t>
      </w:r>
    </w:p>
    <w:p w14:paraId="4F1DC12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（1）现场开会</w:t>
      </w:r>
    </w:p>
    <w:p w14:paraId="0D233AA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在现场开会的方式下，首先由大会主持人按照下列第</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七</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color w:val="000000" w:themeColor="text1"/>
          <w:sz w:val="24"/>
          <w:lang w:eastAsia="zh-CN"/>
          <w14:textFill>
            <w14:solidFill>
              <w14:schemeClr w14:val="tx1"/>
            </w14:solidFill>
          </w14:textFill>
        </w:rPr>
        <w:t>50%</w:t>
      </w:r>
      <w:r>
        <w:rPr>
          <w:bCs/>
          <w:color w:val="000000" w:themeColor="text1"/>
          <w:sz w:val="24"/>
          <w:lang w:eastAsia="zh-CN"/>
          <w14:textFill>
            <w14:solidFill>
              <w14:schemeClr w14:val="tx1"/>
            </w14:solidFill>
          </w14:textFill>
        </w:rPr>
        <w:t>以上（含</w:t>
      </w:r>
      <w:r>
        <w:rPr>
          <w:rFonts w:hint="eastAsia"/>
          <w:bCs/>
          <w:color w:val="000000" w:themeColor="text1"/>
          <w:sz w:val="24"/>
          <w:lang w:eastAsia="zh-CN"/>
          <w14:textFill>
            <w14:solidFill>
              <w14:schemeClr w14:val="tx1"/>
            </w14:solidFill>
          </w14:textFill>
        </w:rPr>
        <w:t>50%</w:t>
      </w:r>
      <w:r>
        <w:rPr>
          <w:bCs/>
          <w:color w:val="000000" w:themeColor="text1"/>
          <w:sz w:val="24"/>
          <w:lang w:eastAsia="zh-CN"/>
          <w14:textFill>
            <w14:solidFill>
              <w14:schemeClr w14:val="tx1"/>
            </w14:solidFill>
          </w14:textFill>
        </w:rPr>
        <w:t>）选举产生一名基金份额持有人作为该次基金份额持有人大会的主持人。基金管理人和基金托管人拒不出席或主持基金份额持有人大会，不影响基金份额持有人大会作出的决议的效力。</w:t>
      </w:r>
    </w:p>
    <w:p w14:paraId="236042C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会议召集人应当制作出席会议人员的签名册。签名册载明参加会议人员姓名（或单位名称）、身份证明文件号码、持有或代表有表决权的基金份额、委托人姓名（或单位名称）和联系方式等事项。</w:t>
      </w:r>
    </w:p>
    <w:p w14:paraId="3C65EC8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（2）通讯开会</w:t>
      </w:r>
    </w:p>
    <w:p w14:paraId="41AFB6C2">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在通讯开会的情况下，首先由召集人提前</w:t>
      </w:r>
      <w:r>
        <w:rPr>
          <w:rFonts w:hint="eastAsia"/>
          <w:bCs/>
          <w:color w:val="000000" w:themeColor="text1"/>
          <w:sz w:val="24"/>
          <w:lang w:eastAsia="zh-CN"/>
          <w14:textFill>
            <w14:solidFill>
              <w14:schemeClr w14:val="tx1"/>
            </w14:solidFill>
          </w14:textFill>
        </w:rPr>
        <w:t>30</w:t>
      </w:r>
      <w:r>
        <w:rPr>
          <w:bCs/>
          <w:color w:val="000000" w:themeColor="text1"/>
          <w:sz w:val="24"/>
          <w:lang w:eastAsia="zh-CN"/>
          <w14:textFill>
            <w14:solidFill>
              <w14:schemeClr w14:val="tx1"/>
            </w14:solidFill>
          </w14:textFill>
        </w:rPr>
        <w:t>日公布提案，在所通知的表决截止日期后</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个工作日内在公证机关监督下由召集人统计全部有效表决，在公证机关监督下形成决议。</w:t>
      </w:r>
    </w:p>
    <w:p w14:paraId="0FC84C7E">
      <w:pPr>
        <w:adjustRightInd w:val="0"/>
        <w:snapToGrid w:val="0"/>
        <w:spacing w:line="360" w:lineRule="auto"/>
        <w:ind w:firstLine="480" w:firstLineChars="200"/>
        <w:rPr>
          <w:bCs/>
          <w:sz w:val="24"/>
          <w:lang w:eastAsia="zh-CN"/>
        </w:rPr>
      </w:pPr>
      <w:r>
        <w:rPr>
          <w:rFonts w:hint="eastAsia"/>
          <w:bCs/>
          <w:sz w:val="24"/>
          <w:lang w:eastAsia="zh-CN"/>
        </w:rPr>
        <w:t>（六）表决</w:t>
      </w:r>
    </w:p>
    <w:p w14:paraId="364CDA1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基金份额持有人所持每份基金份额有一票表决权。</w:t>
      </w:r>
    </w:p>
    <w:p w14:paraId="52AD0BE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基金份额持有人大会决议分为一般决议和特别决议：</w:t>
      </w:r>
    </w:p>
    <w:p w14:paraId="45C2FE2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4877134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2、特别决议，特别决议应当经参加大会的基金份额持有人或其代理人所持表决权</w:t>
      </w:r>
      <w:r>
        <w:rPr>
          <w:bCs/>
          <w:color w:val="000000" w:themeColor="text1"/>
          <w:sz w:val="24"/>
          <w:szCs w:val="24"/>
          <w:lang w:eastAsia="zh-CN"/>
          <w14:textFill>
            <w14:solidFill>
              <w14:schemeClr w14:val="tx1"/>
            </w14:solidFill>
          </w14:textFill>
        </w:rPr>
        <w:t>的</w:t>
      </w:r>
      <w:r>
        <w:rPr>
          <w:rFonts w:hint="eastAsia"/>
          <w:color w:val="000000" w:themeColor="text1"/>
          <w:sz w:val="24"/>
          <w:szCs w:val="24"/>
          <w:lang w:eastAsia="zh-CN"/>
          <w14:textFill>
            <w14:solidFill>
              <w14:schemeClr w14:val="tx1"/>
            </w14:solidFill>
          </w14:textFill>
        </w:rPr>
        <w:t>三分之二</w:t>
      </w:r>
      <w:r>
        <w:rPr>
          <w:color w:val="000000" w:themeColor="text1"/>
          <w:sz w:val="24"/>
          <w:szCs w:val="24"/>
          <w:lang w:eastAsia="zh-CN"/>
          <w14:textFill>
            <w14:solidFill>
              <w14:schemeClr w14:val="tx1"/>
            </w14:solidFill>
          </w14:textFill>
        </w:rPr>
        <w:t>以上（含</w:t>
      </w:r>
      <w:r>
        <w:rPr>
          <w:rFonts w:hint="eastAsia"/>
          <w:color w:val="000000" w:themeColor="text1"/>
          <w:sz w:val="24"/>
          <w:szCs w:val="24"/>
          <w:lang w:eastAsia="zh-CN"/>
          <w14:textFill>
            <w14:solidFill>
              <w14:schemeClr w14:val="tx1"/>
            </w14:solidFill>
          </w14:textFill>
        </w:rPr>
        <w:t>三分之二</w:t>
      </w:r>
      <w:r>
        <w:rPr>
          <w:color w:val="000000" w:themeColor="text1"/>
          <w:sz w:val="24"/>
          <w:szCs w:val="24"/>
          <w:lang w:eastAsia="zh-CN"/>
          <w14:textFill>
            <w14:solidFill>
              <w14:schemeClr w14:val="tx1"/>
            </w14:solidFill>
          </w14:textFill>
        </w:rPr>
        <w:t>）通</w:t>
      </w:r>
      <w:r>
        <w:rPr>
          <w:color w:val="000000" w:themeColor="text1"/>
          <w:sz w:val="24"/>
          <w:lang w:eastAsia="zh-CN"/>
          <w14:textFill>
            <w14:solidFill>
              <w14:schemeClr w14:val="tx1"/>
            </w14:solidFill>
          </w14:textFill>
        </w:rPr>
        <w:t>过方可做出。除</w:t>
      </w:r>
      <w:r>
        <w:rPr>
          <w:rFonts w:hint="eastAsia"/>
          <w:color w:val="000000" w:themeColor="text1"/>
          <w:sz w:val="24"/>
          <w:lang w:eastAsia="zh-CN"/>
          <w14:textFill>
            <w14:solidFill>
              <w14:schemeClr w14:val="tx1"/>
            </w14:solidFill>
          </w14:textFill>
        </w:rPr>
        <w:t>《基金合同》另有约定外，</w:t>
      </w:r>
      <w:r>
        <w:rPr>
          <w:color w:val="000000" w:themeColor="text1"/>
          <w:sz w:val="24"/>
          <w:lang w:eastAsia="zh-CN"/>
          <w14:textFill>
            <w14:solidFill>
              <w14:schemeClr w14:val="tx1"/>
            </w14:solidFill>
          </w14:textFill>
        </w:rPr>
        <w:t>转换基金运作方式、更换基金管理人或者基金托管人、终止《基金合同》、本基金与其他基金合并</w:t>
      </w:r>
      <w:r>
        <w:rPr>
          <w:bCs/>
          <w:color w:val="000000" w:themeColor="text1"/>
          <w:sz w:val="24"/>
          <w:lang w:eastAsia="zh-CN"/>
          <w14:textFill>
            <w14:solidFill>
              <w14:schemeClr w14:val="tx1"/>
            </w14:solidFill>
          </w14:textFill>
        </w:rPr>
        <w:t>以特别决议通过方为有效。</w:t>
      </w:r>
    </w:p>
    <w:p w14:paraId="367A8FD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基金份额持有人大会采取记名方式进行投票表决。</w:t>
      </w:r>
    </w:p>
    <w:p w14:paraId="3CD3E76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250C4D12">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基金份额持有人大会的各项提案或同一项提案内并列的各项议题应当分开审议、逐项表决。</w:t>
      </w:r>
    </w:p>
    <w:p w14:paraId="46346011">
      <w:pPr>
        <w:adjustRightInd w:val="0"/>
        <w:snapToGrid w:val="0"/>
        <w:spacing w:line="360" w:lineRule="auto"/>
        <w:ind w:firstLine="480" w:firstLineChars="200"/>
        <w:rPr>
          <w:bCs/>
          <w:sz w:val="24"/>
          <w:lang w:eastAsia="zh-CN"/>
        </w:rPr>
      </w:pPr>
      <w:r>
        <w:rPr>
          <w:rFonts w:hint="eastAsia"/>
          <w:bCs/>
          <w:sz w:val="24"/>
          <w:lang w:eastAsia="zh-CN"/>
        </w:rPr>
        <w:t>（七）计票</w:t>
      </w:r>
    </w:p>
    <w:p w14:paraId="537A3FC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1、现场开会</w:t>
      </w:r>
    </w:p>
    <w:p w14:paraId="7A3AAC7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7B8379A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（2）监票人应当在基金份额持有人表决后立即进行清点并由大会主持人当场公布计票结果。</w:t>
      </w:r>
    </w:p>
    <w:p w14:paraId="75D1A03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4D4DB41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（4）计票过程应由公证机关予以公证</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基金管理人或基金托管人拒不出席大会的，不影响计票的效力。</w:t>
      </w:r>
    </w:p>
    <w:p w14:paraId="3D0BD06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2、通讯开会</w:t>
      </w:r>
    </w:p>
    <w:p w14:paraId="4C0B441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14:paraId="7722BDA5">
      <w:pPr>
        <w:adjustRightInd w:val="0"/>
        <w:snapToGrid w:val="0"/>
        <w:spacing w:line="360" w:lineRule="auto"/>
        <w:ind w:firstLine="480" w:firstLineChars="200"/>
        <w:rPr>
          <w:bCs/>
          <w:sz w:val="24"/>
          <w:lang w:eastAsia="zh-CN"/>
        </w:rPr>
      </w:pPr>
      <w:r>
        <w:rPr>
          <w:rFonts w:hint="eastAsia"/>
          <w:bCs/>
          <w:sz w:val="24"/>
          <w:lang w:eastAsia="zh-CN"/>
        </w:rPr>
        <w:t>（八）生效与公告</w:t>
      </w:r>
    </w:p>
    <w:p w14:paraId="42C8801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基金份额持有人大会的决议，召集人应当自通过之日起</w:t>
      </w:r>
      <w:r>
        <w:rPr>
          <w:rFonts w:hint="eastAsia"/>
          <w:bCs/>
          <w:color w:val="000000" w:themeColor="text1"/>
          <w:sz w:val="24"/>
          <w:lang w:eastAsia="zh-CN"/>
          <w14:textFill>
            <w14:solidFill>
              <w14:schemeClr w14:val="tx1"/>
            </w14:solidFill>
          </w14:textFill>
        </w:rPr>
        <w:t>5</w:t>
      </w:r>
      <w:r>
        <w:rPr>
          <w:bCs/>
          <w:color w:val="000000" w:themeColor="text1"/>
          <w:sz w:val="24"/>
          <w:lang w:eastAsia="zh-CN"/>
          <w14:textFill>
            <w14:solidFill>
              <w14:schemeClr w14:val="tx1"/>
            </w14:solidFill>
          </w14:textFill>
        </w:rPr>
        <w:t>日内报中国证监会备案。</w:t>
      </w:r>
    </w:p>
    <w:p w14:paraId="146EC75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基金份额持有人大会的决议自表决通过之日起生效。</w:t>
      </w:r>
    </w:p>
    <w:p w14:paraId="5837220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基金份额持有人大会决议自生效之日起</w:t>
      </w:r>
      <w:r>
        <w:rPr>
          <w:rFonts w:hint="eastAsia"/>
          <w:bCs/>
          <w:color w:val="000000" w:themeColor="text1"/>
          <w:sz w:val="24"/>
          <w:lang w:eastAsia="zh-CN"/>
          <w14:textFill>
            <w14:solidFill>
              <w14:schemeClr w14:val="tx1"/>
            </w14:solidFill>
          </w14:textFill>
        </w:rPr>
        <w:t>2</w:t>
      </w:r>
      <w:r>
        <w:rPr>
          <w:bCs/>
          <w:color w:val="000000" w:themeColor="text1"/>
          <w:sz w:val="24"/>
          <w:lang w:eastAsia="zh-CN"/>
          <w14:textFill>
            <w14:solidFill>
              <w14:schemeClr w14:val="tx1"/>
            </w14:solidFill>
          </w14:textFill>
        </w:rPr>
        <w:t>日内在</w:t>
      </w:r>
      <w:r>
        <w:rPr>
          <w:rFonts w:hint="eastAsia"/>
          <w:bCs/>
          <w:color w:val="000000" w:themeColor="text1"/>
          <w:sz w:val="24"/>
          <w:lang w:eastAsia="zh-CN"/>
          <w14:textFill>
            <w14:solidFill>
              <w14:schemeClr w14:val="tx1"/>
            </w14:solidFill>
          </w14:textFill>
        </w:rPr>
        <w:t>规定媒介</w:t>
      </w:r>
      <w:r>
        <w:rPr>
          <w:bCs/>
          <w:color w:val="000000" w:themeColor="text1"/>
          <w:sz w:val="24"/>
          <w:lang w:eastAsia="zh-CN"/>
          <w14:textFill>
            <w14:solidFill>
              <w14:schemeClr w14:val="tx1"/>
            </w14:solidFill>
          </w14:textFill>
        </w:rPr>
        <w:t>上公告。</w:t>
      </w:r>
      <w:bookmarkStart w:id="107" w:name="_Hlt88820702"/>
      <w:bookmarkEnd w:id="107"/>
      <w:r>
        <w:rPr>
          <w:bCs/>
          <w:color w:val="000000" w:themeColor="text1"/>
          <w:sz w:val="24"/>
          <w:lang w:eastAsia="zh-CN"/>
          <w14:textFill>
            <w14:solidFill>
              <w14:schemeClr w14:val="tx1"/>
            </w14:solidFill>
          </w14:textFill>
        </w:rPr>
        <w:t>如果采用通讯方式进行表决，在公告基金份额持有人大会决议时，必须将公证书全文、公证机构、公证员姓名等一同公告。</w:t>
      </w:r>
    </w:p>
    <w:p w14:paraId="36477E68">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基金管理人、基金托管人和基金份额持有人应当执行生效的基金份额持有人大会的决议。生效的基金份额持有人大会决议对全体基金份额持有人、基金管理人、基金托管人均有约束力。</w:t>
      </w:r>
    </w:p>
    <w:p w14:paraId="17ED07B8">
      <w:pPr>
        <w:adjustRightInd w:val="0"/>
        <w:snapToGrid w:val="0"/>
        <w:spacing w:line="360" w:lineRule="auto"/>
        <w:ind w:firstLine="480" w:firstLineChars="200"/>
        <w:rPr>
          <w:sz w:val="24"/>
          <w:lang w:eastAsia="zh-CN"/>
        </w:rPr>
      </w:pPr>
      <w:r>
        <w:rPr>
          <w:rFonts w:hint="eastAsia"/>
          <w:sz w:val="24"/>
          <w:lang w:eastAsia="zh-CN"/>
        </w:rPr>
        <w:t>（九）实施侧袋机制期间基金份额持有人大会的特殊约定</w:t>
      </w:r>
    </w:p>
    <w:p w14:paraId="10794D4A">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451AC7CE">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1、基金份额持有人行使提议权、召集权、提名权所需单独或合计代表相关基金份额10%以上（含10%）；</w:t>
      </w:r>
    </w:p>
    <w:p w14:paraId="061DC00C">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2、现场开会的到会者在权益登记日代表的基金份额不少于本基金在权益登记日相关基金份额的二分之一（含二分之一）；</w:t>
      </w:r>
    </w:p>
    <w:p w14:paraId="68574F61">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3、通讯开会的直接出具书面意见或授权他人代表出具书面意见的基金份额持有人所持有的基金份额不小于在权益登记日相关基金份额的二分之一（含二分之一）；</w:t>
      </w:r>
    </w:p>
    <w:p w14:paraId="14D76593">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7C2992D1">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5、现场开会由出席大会的基金份额持有人和代理人所持表决权的50%以上（含50%）选举产生一名基金份额持有人作为该次基金份额持有人大会的主持人；</w:t>
      </w:r>
    </w:p>
    <w:p w14:paraId="20D8BE42">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6、一般决议须经参加大会的基金份额持有人或其代理人所持表决权的二分之一以上（含二分之一）通过；</w:t>
      </w:r>
    </w:p>
    <w:p w14:paraId="2AECC508">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7、特别决议应当经参加大会的基金份额持有人或其代理人所持表决权的三分之二以上（含三分之二）通过。</w:t>
      </w:r>
    </w:p>
    <w:p w14:paraId="73FEAC01">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8、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023574E5">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侧袋机制实施期间，关于基金份额持有人大会的相关规定以本节特殊约定内容为准，本节没有规定的适用本部分的一般规定，法律法规另有规定的除外。</w:t>
      </w:r>
    </w:p>
    <w:p w14:paraId="42036898">
      <w:pPr>
        <w:adjustRightInd w:val="0"/>
        <w:snapToGrid w:val="0"/>
        <w:spacing w:line="360" w:lineRule="auto"/>
        <w:ind w:firstLine="480" w:firstLineChars="200"/>
        <w:rPr>
          <w:sz w:val="24"/>
          <w:lang w:eastAsia="zh-CN"/>
        </w:rPr>
      </w:pPr>
      <w:r>
        <w:rPr>
          <w:rFonts w:hint="eastAsia"/>
          <w:color w:val="000000" w:themeColor="text1"/>
          <w:sz w:val="24"/>
          <w:lang w:eastAsia="zh-CN"/>
          <w14:textFill>
            <w14:solidFill>
              <w14:schemeClr w14:val="tx1"/>
            </w14:solidFill>
          </w14:textFill>
        </w:rPr>
        <w:t>同一主侧袋账户内的每份基金份额具有平等的表决权。</w:t>
      </w:r>
    </w:p>
    <w:p w14:paraId="0293E830">
      <w:pPr>
        <w:adjustRightInd w:val="0"/>
        <w:snapToGrid w:val="0"/>
        <w:spacing w:line="360" w:lineRule="auto"/>
        <w:ind w:firstLine="480" w:firstLineChars="200"/>
        <w:rPr>
          <w:sz w:val="24"/>
          <w:lang w:eastAsia="zh-CN"/>
        </w:rPr>
      </w:pPr>
      <w:r>
        <w:rPr>
          <w:rFonts w:hint="eastAsia"/>
          <w:sz w:val="24"/>
          <w:lang w:eastAsia="zh-CN"/>
        </w:rPr>
        <w:t>（十）</w:t>
      </w:r>
      <w:r>
        <w:rPr>
          <w:rFonts w:hint="eastAsia"/>
          <w:bCs/>
          <w:color w:val="000000" w:themeColor="text1"/>
          <w:sz w:val="24"/>
          <w:lang w:eastAsia="zh-CN"/>
          <w14:textFill>
            <w14:solidFill>
              <w14:schemeClr w14:val="tx1"/>
            </w14:solidFill>
          </w14:textFill>
        </w:rPr>
        <w:t>本部分关于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p>
    <w:p w14:paraId="5F3BF22B">
      <w:pPr>
        <w:adjustRightInd w:val="0"/>
        <w:snapToGrid w:val="0"/>
        <w:spacing w:line="360" w:lineRule="auto"/>
        <w:ind w:firstLine="480" w:firstLineChars="200"/>
        <w:rPr>
          <w:bCs/>
          <w:sz w:val="24"/>
          <w:lang w:eastAsia="zh-CN"/>
        </w:rPr>
      </w:pPr>
      <w:r>
        <w:rPr>
          <w:rFonts w:hint="eastAsia"/>
          <w:bCs/>
          <w:sz w:val="24"/>
          <w:lang w:eastAsia="zh-CN"/>
        </w:rPr>
        <w:t>三、基金收益分配原则、执行方式</w:t>
      </w:r>
    </w:p>
    <w:p w14:paraId="2B499CB2">
      <w:pPr>
        <w:adjustRightInd w:val="0"/>
        <w:snapToGrid w:val="0"/>
        <w:spacing w:line="360" w:lineRule="auto"/>
        <w:ind w:firstLine="540" w:firstLineChars="225"/>
        <w:rPr>
          <w:bCs/>
          <w:sz w:val="24"/>
          <w:lang w:eastAsia="zh-CN"/>
        </w:rPr>
      </w:pPr>
      <w:r>
        <w:rPr>
          <w:rFonts w:hint="eastAsia"/>
          <w:bCs/>
          <w:sz w:val="24"/>
          <w:lang w:eastAsia="zh-CN"/>
        </w:rPr>
        <w:t>（一）基金利润的构成</w:t>
      </w:r>
    </w:p>
    <w:p w14:paraId="155056DA">
      <w:pPr>
        <w:adjustRightInd w:val="0"/>
        <w:snapToGrid w:val="0"/>
        <w:spacing w:line="360" w:lineRule="auto"/>
        <w:ind w:firstLine="540" w:firstLineChars="225"/>
        <w:rPr>
          <w:bCs/>
          <w:sz w:val="24"/>
          <w:lang w:eastAsia="zh-CN"/>
        </w:rPr>
      </w:pPr>
      <w:r>
        <w:rPr>
          <w:bCs/>
          <w:color w:val="000000" w:themeColor="text1"/>
          <w:sz w:val="24"/>
          <w:lang w:eastAsia="zh-CN"/>
          <w14:textFill>
            <w14:solidFill>
              <w14:schemeClr w14:val="tx1"/>
            </w14:solidFill>
          </w14:textFill>
        </w:rPr>
        <w:t>基金利润指基金利息收入、投资收益、公允价值变动收益和其他收入扣除相关费用后的余额，基金已实现收益指基金利润减去公允价值变动收益后的余额。</w:t>
      </w:r>
    </w:p>
    <w:p w14:paraId="24155AB0">
      <w:pPr>
        <w:adjustRightInd w:val="0"/>
        <w:snapToGrid w:val="0"/>
        <w:spacing w:line="360" w:lineRule="auto"/>
        <w:ind w:firstLine="540" w:firstLineChars="225"/>
        <w:rPr>
          <w:bCs/>
          <w:sz w:val="24"/>
          <w:lang w:eastAsia="zh-CN"/>
        </w:rPr>
      </w:pPr>
      <w:r>
        <w:rPr>
          <w:rFonts w:hint="eastAsia"/>
          <w:bCs/>
          <w:sz w:val="24"/>
          <w:lang w:eastAsia="zh-CN"/>
        </w:rPr>
        <w:t>（二）基金可供分配利润</w:t>
      </w:r>
    </w:p>
    <w:p w14:paraId="161A954E">
      <w:pPr>
        <w:adjustRightInd w:val="0"/>
        <w:snapToGrid w:val="0"/>
        <w:spacing w:line="360" w:lineRule="auto"/>
        <w:ind w:firstLine="540" w:firstLineChars="225"/>
        <w:rPr>
          <w:bCs/>
          <w:sz w:val="24"/>
          <w:lang w:eastAsia="zh-CN"/>
        </w:rPr>
      </w:pPr>
      <w:r>
        <w:rPr>
          <w:bCs/>
          <w:color w:val="000000" w:themeColor="text1"/>
          <w:sz w:val="24"/>
          <w:lang w:eastAsia="zh-CN"/>
          <w14:textFill>
            <w14:solidFill>
              <w14:schemeClr w14:val="tx1"/>
            </w14:solidFill>
          </w14:textFill>
        </w:rPr>
        <w:t>基金可供分配利润指截至收益分配基准日基金未分配利润与未分配利润中已实现收益的孰低数。</w:t>
      </w:r>
    </w:p>
    <w:p w14:paraId="7B7F41A5">
      <w:pPr>
        <w:adjustRightInd w:val="0"/>
        <w:snapToGrid w:val="0"/>
        <w:spacing w:line="360" w:lineRule="auto"/>
        <w:ind w:firstLine="540" w:firstLineChars="225"/>
        <w:rPr>
          <w:bCs/>
          <w:sz w:val="24"/>
          <w:lang w:eastAsia="zh-CN"/>
        </w:rPr>
      </w:pPr>
      <w:r>
        <w:rPr>
          <w:rFonts w:hint="eastAsia"/>
          <w:bCs/>
          <w:sz w:val="24"/>
          <w:lang w:eastAsia="zh-CN"/>
        </w:rPr>
        <w:t>（三）基金收益分配原则</w:t>
      </w:r>
    </w:p>
    <w:p w14:paraId="34949EBA">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本基金收益分配方式分两种：现金分红与红利再投资，投资者可选择现金红利或将现金红利自动转为基金份额进行再投资；若投资者不选择，本基金默认的收益分配方式是现金分红；</w:t>
      </w:r>
    </w:p>
    <w:p w14:paraId="634383D4">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2、基金收益分配后基金份额净值不能低于面值；即基金收益分配基准日的基金份额净值减去每单位基金份额收益分配金额后不能低于面值</w:t>
      </w:r>
      <w:r>
        <w:rPr>
          <w:rFonts w:hint="eastAsia"/>
          <w:bCs/>
          <w:color w:val="000000" w:themeColor="text1"/>
          <w:sz w:val="24"/>
          <w:lang w:eastAsia="zh-CN"/>
          <w14:textFill>
            <w14:solidFill>
              <w14:schemeClr w14:val="tx1"/>
            </w14:solidFill>
          </w14:textFill>
        </w:rPr>
        <w:t>；</w:t>
      </w:r>
    </w:p>
    <w:p w14:paraId="050AB6A1">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3、每一基金份额享有同等分配权；</w:t>
      </w:r>
    </w:p>
    <w:p w14:paraId="43C22ECF">
      <w:pPr>
        <w:spacing w:line="360" w:lineRule="auto"/>
        <w:ind w:firstLine="540" w:firstLineChars="225"/>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4、法律法规或监管机关另有规定的，从其规定。</w:t>
      </w:r>
    </w:p>
    <w:p w14:paraId="430EF9A0">
      <w:pPr>
        <w:adjustRightInd w:val="0"/>
        <w:snapToGrid w:val="0"/>
        <w:spacing w:line="360" w:lineRule="auto"/>
        <w:ind w:firstLine="540" w:firstLineChars="225"/>
        <w:rPr>
          <w:bCs/>
          <w:sz w:val="24"/>
          <w:lang w:eastAsia="zh-CN"/>
        </w:rPr>
      </w:pPr>
      <w:r>
        <w:rPr>
          <w:rFonts w:hint="eastAsia"/>
          <w:bCs/>
          <w:color w:val="000000" w:themeColor="text1"/>
          <w:sz w:val="24"/>
          <w:lang w:eastAsia="zh-CN"/>
          <w14:textFill>
            <w14:solidFill>
              <w14:schemeClr w14:val="tx1"/>
            </w14:solidFill>
          </w14:textFill>
        </w:rPr>
        <w:t>在不违反法律法规且对基金份额持有人利益无实质不利影响的前提下，基金管理人可对基金收益分配原则进行调整，不需召开基金份额持有人大会。</w:t>
      </w:r>
    </w:p>
    <w:p w14:paraId="161BE94B">
      <w:pPr>
        <w:adjustRightInd w:val="0"/>
        <w:snapToGrid w:val="0"/>
        <w:spacing w:line="360" w:lineRule="auto"/>
        <w:ind w:firstLine="540" w:firstLineChars="225"/>
        <w:rPr>
          <w:bCs/>
          <w:sz w:val="24"/>
          <w:lang w:eastAsia="zh-CN"/>
        </w:rPr>
      </w:pPr>
      <w:r>
        <w:rPr>
          <w:rFonts w:hint="eastAsia"/>
          <w:bCs/>
          <w:sz w:val="24"/>
          <w:lang w:eastAsia="zh-CN"/>
        </w:rPr>
        <w:t>（四）收益分配方案</w:t>
      </w:r>
    </w:p>
    <w:p w14:paraId="68D21C46">
      <w:pPr>
        <w:adjustRightInd w:val="0"/>
        <w:snapToGrid w:val="0"/>
        <w:spacing w:line="360" w:lineRule="auto"/>
        <w:ind w:firstLine="540" w:firstLineChars="225"/>
        <w:rPr>
          <w:bCs/>
          <w:sz w:val="24"/>
          <w:lang w:eastAsia="zh-CN"/>
        </w:rPr>
      </w:pPr>
      <w:r>
        <w:rPr>
          <w:bCs/>
          <w:color w:val="000000" w:themeColor="text1"/>
          <w:sz w:val="24"/>
          <w:lang w:eastAsia="zh-CN"/>
          <w14:textFill>
            <w14:solidFill>
              <w14:schemeClr w14:val="tx1"/>
            </w14:solidFill>
          </w14:textFill>
        </w:rPr>
        <w:t>基金收益分配方案中应载明截止收益分配基准日的可供分配利润、基金收益分配对象、分配时间、分配数额及比例、分配方式等内容。</w:t>
      </w:r>
    </w:p>
    <w:p w14:paraId="116BB36B">
      <w:pPr>
        <w:adjustRightInd w:val="0"/>
        <w:snapToGrid w:val="0"/>
        <w:spacing w:line="360" w:lineRule="auto"/>
        <w:ind w:firstLine="540" w:firstLineChars="225"/>
        <w:rPr>
          <w:bCs/>
          <w:sz w:val="24"/>
          <w:lang w:eastAsia="zh-CN"/>
        </w:rPr>
      </w:pPr>
      <w:r>
        <w:rPr>
          <w:rFonts w:hint="eastAsia"/>
          <w:bCs/>
          <w:sz w:val="24"/>
          <w:lang w:eastAsia="zh-CN"/>
        </w:rPr>
        <w:t>（五）收益分配方案的确定、公告与实施</w:t>
      </w:r>
    </w:p>
    <w:p w14:paraId="285DBF6D">
      <w:pPr>
        <w:adjustRightInd w:val="0"/>
        <w:snapToGrid w:val="0"/>
        <w:spacing w:line="360" w:lineRule="auto"/>
        <w:ind w:firstLine="540" w:firstLineChars="225"/>
        <w:rPr>
          <w:bCs/>
          <w:sz w:val="24"/>
          <w:lang w:eastAsia="zh-CN"/>
        </w:rPr>
      </w:pPr>
      <w:r>
        <w:rPr>
          <w:bCs/>
          <w:color w:val="000000" w:themeColor="text1"/>
          <w:sz w:val="24"/>
          <w:lang w:eastAsia="zh-CN"/>
          <w14:textFill>
            <w14:solidFill>
              <w14:schemeClr w14:val="tx1"/>
            </w14:solidFill>
          </w14:textFill>
        </w:rPr>
        <w:t>本基金收益分配方案由基金管理人拟定，并由基金托管人复核，在2日内在</w:t>
      </w:r>
      <w:r>
        <w:rPr>
          <w:rFonts w:hint="eastAsia"/>
          <w:bCs/>
          <w:color w:val="000000" w:themeColor="text1"/>
          <w:sz w:val="24"/>
          <w:lang w:eastAsia="zh-CN"/>
          <w14:textFill>
            <w14:solidFill>
              <w14:schemeClr w14:val="tx1"/>
            </w14:solidFill>
          </w14:textFill>
        </w:rPr>
        <w:t>规</w:t>
      </w:r>
      <w:r>
        <w:rPr>
          <w:bCs/>
          <w:color w:val="000000" w:themeColor="text1"/>
          <w:sz w:val="24"/>
          <w:lang w:eastAsia="zh-CN"/>
          <w14:textFill>
            <w14:solidFill>
              <w14:schemeClr w14:val="tx1"/>
            </w14:solidFill>
          </w14:textFill>
        </w:rPr>
        <w:t>定</w:t>
      </w:r>
      <w:r>
        <w:rPr>
          <w:rFonts w:hint="eastAsia"/>
          <w:bCs/>
          <w:color w:val="000000" w:themeColor="text1"/>
          <w:sz w:val="24"/>
          <w:lang w:eastAsia="zh-CN"/>
          <w14:textFill>
            <w14:solidFill>
              <w14:schemeClr w14:val="tx1"/>
            </w14:solidFill>
          </w14:textFill>
        </w:rPr>
        <w:t>媒介</w:t>
      </w:r>
      <w:r>
        <w:rPr>
          <w:bCs/>
          <w:color w:val="000000" w:themeColor="text1"/>
          <w:sz w:val="24"/>
          <w:lang w:eastAsia="zh-CN"/>
          <w14:textFill>
            <w14:solidFill>
              <w14:schemeClr w14:val="tx1"/>
            </w14:solidFill>
          </w14:textFill>
        </w:rPr>
        <w:t>公告。</w:t>
      </w:r>
    </w:p>
    <w:p w14:paraId="5E2A64D7">
      <w:pPr>
        <w:adjustRightInd w:val="0"/>
        <w:snapToGrid w:val="0"/>
        <w:spacing w:line="360" w:lineRule="auto"/>
        <w:ind w:firstLine="540" w:firstLineChars="225"/>
        <w:rPr>
          <w:bCs/>
          <w:sz w:val="24"/>
          <w:lang w:eastAsia="zh-CN"/>
        </w:rPr>
      </w:pPr>
      <w:r>
        <w:rPr>
          <w:rFonts w:hint="eastAsia"/>
          <w:bCs/>
          <w:sz w:val="24"/>
          <w:lang w:eastAsia="zh-CN"/>
        </w:rPr>
        <w:t>（六）基金收益分配中发生的费用</w:t>
      </w:r>
    </w:p>
    <w:p w14:paraId="22E3FB33">
      <w:pPr>
        <w:adjustRightInd w:val="0"/>
        <w:snapToGrid w:val="0"/>
        <w:spacing w:line="360" w:lineRule="auto"/>
        <w:ind w:firstLine="540" w:firstLineChars="225"/>
        <w:rPr>
          <w:bCs/>
          <w:sz w:val="24"/>
          <w:lang w:eastAsia="zh-CN"/>
        </w:rPr>
      </w:pPr>
      <w:r>
        <w:rPr>
          <w:bCs/>
          <w:color w:val="000000" w:themeColor="text1"/>
          <w:sz w:val="24"/>
          <w:lang w:eastAsia="zh-CN"/>
          <w14:textFill>
            <w14:solidFill>
              <w14:schemeClr w14:val="tx1"/>
            </w14:solidFill>
          </w14:textFill>
        </w:rPr>
        <w:t>基金收益分配时所发生的银行转账或其他手续费用由投资者自行承担。当投资者的现金红利小于一定金额，不足</w:t>
      </w:r>
      <w:r>
        <w:rPr>
          <w:rFonts w:hint="eastAsia"/>
          <w:bCs/>
          <w:color w:val="000000" w:themeColor="text1"/>
          <w:sz w:val="24"/>
          <w:lang w:eastAsia="zh-CN"/>
          <w14:textFill>
            <w14:solidFill>
              <w14:schemeClr w14:val="tx1"/>
            </w14:solidFill>
          </w14:textFill>
        </w:rPr>
        <w:t>以</w:t>
      </w:r>
      <w:r>
        <w:rPr>
          <w:bCs/>
          <w:color w:val="000000" w:themeColor="text1"/>
          <w:sz w:val="24"/>
          <w:lang w:eastAsia="zh-CN"/>
          <w14:textFill>
            <w14:solidFill>
              <w14:schemeClr w14:val="tx1"/>
            </w14:solidFill>
          </w14:textFill>
        </w:rPr>
        <w:t>支付银行转账或其他手续费用时，基金登记机构可将基金份额持有人的现金红利自动转为基金份额。红利再投资的计算方法，依照《业务规则》执行。</w:t>
      </w:r>
    </w:p>
    <w:p w14:paraId="4E508FF2">
      <w:pPr>
        <w:adjustRightInd w:val="0"/>
        <w:snapToGrid w:val="0"/>
        <w:spacing w:line="360" w:lineRule="auto"/>
        <w:ind w:firstLine="540" w:firstLineChars="225"/>
        <w:rPr>
          <w:sz w:val="24"/>
          <w:lang w:eastAsia="zh-CN"/>
        </w:rPr>
      </w:pPr>
      <w:r>
        <w:rPr>
          <w:rFonts w:hint="eastAsia"/>
          <w:sz w:val="24"/>
          <w:lang w:eastAsia="zh-CN"/>
        </w:rPr>
        <w:t>（七）实施侧袋机制期间的收益分配</w:t>
      </w:r>
    </w:p>
    <w:p w14:paraId="1C9F151E">
      <w:pPr>
        <w:adjustRightInd w:val="0"/>
        <w:snapToGrid w:val="0"/>
        <w:spacing w:line="360" w:lineRule="auto"/>
        <w:ind w:firstLine="540" w:firstLineChars="225"/>
        <w:rPr>
          <w:sz w:val="24"/>
          <w:lang w:eastAsia="zh-CN"/>
        </w:rPr>
      </w:pPr>
      <w:r>
        <w:rPr>
          <w:rFonts w:hint="eastAsia"/>
          <w:color w:val="000000" w:themeColor="text1"/>
          <w:sz w:val="24"/>
          <w:lang w:eastAsia="zh-CN"/>
          <w14:textFill>
            <w14:solidFill>
              <w14:schemeClr w14:val="tx1"/>
            </w14:solidFill>
          </w14:textFill>
        </w:rPr>
        <w:t>本基金实施侧袋机制的，侧袋账户不进行收益分配，详见招募说明书的规定。</w:t>
      </w:r>
    </w:p>
    <w:p w14:paraId="3CD426B4">
      <w:pPr>
        <w:adjustRightInd w:val="0"/>
        <w:snapToGrid w:val="0"/>
        <w:spacing w:line="360" w:lineRule="auto"/>
        <w:ind w:firstLine="540" w:firstLineChars="225"/>
        <w:rPr>
          <w:bCs/>
          <w:sz w:val="24"/>
          <w:lang w:eastAsia="zh-CN"/>
        </w:rPr>
      </w:pPr>
      <w:r>
        <w:rPr>
          <w:rFonts w:hint="eastAsia"/>
          <w:bCs/>
          <w:sz w:val="24"/>
          <w:lang w:eastAsia="zh-CN"/>
        </w:rPr>
        <w:t>四、与基金财产管理、运用有关费用的提取、支付方式与比例</w:t>
      </w:r>
    </w:p>
    <w:p w14:paraId="46C21D02">
      <w:pPr>
        <w:adjustRightInd w:val="0"/>
        <w:snapToGrid w:val="0"/>
        <w:spacing w:line="360" w:lineRule="auto"/>
        <w:ind w:firstLine="480" w:firstLineChars="200"/>
        <w:rPr>
          <w:bCs/>
          <w:sz w:val="24"/>
          <w:lang w:eastAsia="zh-CN"/>
        </w:rPr>
      </w:pPr>
      <w:r>
        <w:rPr>
          <w:rFonts w:hint="eastAsia"/>
          <w:bCs/>
          <w:sz w:val="24"/>
          <w:lang w:eastAsia="zh-CN"/>
        </w:rPr>
        <w:t>（一）基金费用的种类</w:t>
      </w:r>
    </w:p>
    <w:p w14:paraId="35CD991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、基金管理人的管理费；</w:t>
      </w:r>
    </w:p>
    <w:p w14:paraId="2CD7411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、基金托管人的托管费；</w:t>
      </w:r>
    </w:p>
    <w:p w14:paraId="11D9AAA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、《基金合同》生效后与基金相关的信息披露费用；</w:t>
      </w:r>
    </w:p>
    <w:p w14:paraId="7C890E0A">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、《基金合同》生效后与基金相关的会计师费、律师费、诉讼费和仲裁费等费用；</w:t>
      </w:r>
    </w:p>
    <w:p w14:paraId="19C7E91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、基金份额持有人大会费用；</w:t>
      </w:r>
    </w:p>
    <w:p w14:paraId="57BAEB2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6</w:t>
      </w:r>
      <w:r>
        <w:rPr>
          <w:rFonts w:hint="eastAsia"/>
          <w:bCs/>
          <w:color w:val="000000" w:themeColor="text1"/>
          <w:sz w:val="24"/>
          <w:lang w:eastAsia="zh-CN"/>
          <w14:textFill>
            <w14:solidFill>
              <w14:schemeClr w14:val="tx1"/>
            </w14:solidFill>
          </w14:textFill>
        </w:rPr>
        <w:t>、基金的证券交易费用；</w:t>
      </w:r>
    </w:p>
    <w:p w14:paraId="0E3ADF0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7</w:t>
      </w:r>
      <w:r>
        <w:rPr>
          <w:rFonts w:hint="eastAsia"/>
          <w:bCs/>
          <w:color w:val="000000" w:themeColor="text1"/>
          <w:sz w:val="24"/>
          <w:lang w:eastAsia="zh-CN"/>
          <w14:textFill>
            <w14:solidFill>
              <w14:schemeClr w14:val="tx1"/>
            </w14:solidFill>
          </w14:textFill>
        </w:rPr>
        <w:t>、基金的银行汇划费用；</w:t>
      </w:r>
    </w:p>
    <w:p w14:paraId="1796BFC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8</w:t>
      </w:r>
      <w:r>
        <w:rPr>
          <w:rFonts w:hint="eastAsia"/>
          <w:bCs/>
          <w:color w:val="000000" w:themeColor="text1"/>
          <w:sz w:val="24"/>
          <w:lang w:eastAsia="zh-CN"/>
          <w14:textFill>
            <w14:solidFill>
              <w14:schemeClr w14:val="tx1"/>
            </w14:solidFill>
          </w14:textFill>
        </w:rPr>
        <w:t>、基金的账户开户费用、账户维护费用；</w:t>
      </w:r>
    </w:p>
    <w:p w14:paraId="2760B5F8">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9</w:t>
      </w:r>
      <w:r>
        <w:rPr>
          <w:rFonts w:hint="eastAsia"/>
          <w:bCs/>
          <w:color w:val="000000" w:themeColor="text1"/>
          <w:sz w:val="24"/>
          <w:lang w:eastAsia="zh-CN"/>
          <w14:textFill>
            <w14:solidFill>
              <w14:schemeClr w14:val="tx1"/>
            </w14:solidFill>
          </w14:textFill>
        </w:rPr>
        <w:t>、按照国家有关规定和《基金合同》约定，可以在基金财产中列支的其他费用。</w:t>
      </w:r>
    </w:p>
    <w:p w14:paraId="4AA90E17">
      <w:pPr>
        <w:adjustRightInd w:val="0"/>
        <w:snapToGrid w:val="0"/>
        <w:spacing w:line="360" w:lineRule="auto"/>
        <w:ind w:firstLine="480" w:firstLineChars="200"/>
        <w:rPr>
          <w:bCs/>
          <w:sz w:val="24"/>
          <w:lang w:eastAsia="zh-CN"/>
        </w:rPr>
      </w:pPr>
      <w:r>
        <w:rPr>
          <w:rFonts w:hint="eastAsia"/>
          <w:bCs/>
          <w:sz w:val="24"/>
          <w:lang w:eastAsia="zh-CN"/>
        </w:rPr>
        <w:t>（二）基金费用计提方法、计提标准和支付方式</w:t>
      </w:r>
    </w:p>
    <w:p w14:paraId="04CB2D6E">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、基金管理人的管理费</w:t>
      </w:r>
    </w:p>
    <w:p w14:paraId="013DD377">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本基金的管理费按前一日基金资产净值的</w:t>
      </w:r>
      <w:r>
        <w:rPr>
          <w:bCs/>
          <w:color w:val="000000" w:themeColor="text1"/>
          <w:sz w:val="24"/>
          <w:lang w:eastAsia="zh-CN"/>
          <w14:textFill>
            <w14:solidFill>
              <w14:schemeClr w14:val="tx1"/>
            </w14:solidFill>
          </w14:textFill>
        </w:rPr>
        <w:t>0.</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0%</w:t>
      </w:r>
      <w:r>
        <w:rPr>
          <w:rFonts w:hint="eastAsia"/>
          <w:bCs/>
          <w:color w:val="000000" w:themeColor="text1"/>
          <w:sz w:val="24"/>
          <w:lang w:eastAsia="zh-CN"/>
          <w14:textFill>
            <w14:solidFill>
              <w14:schemeClr w14:val="tx1"/>
            </w14:solidFill>
          </w14:textFill>
        </w:rPr>
        <w:t>年费率计提。管理费的计算方法如下：</w:t>
      </w:r>
    </w:p>
    <w:p w14:paraId="764393B6">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H</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E×0.</w:t>
      </w:r>
      <w:r>
        <w:rPr>
          <w:rFonts w:hint="eastAsia"/>
          <w:bCs/>
          <w:color w:val="000000" w:themeColor="text1"/>
          <w:sz w:val="24"/>
          <w:lang w:eastAsia="zh-CN"/>
          <w14:textFill>
            <w14:solidFill>
              <w14:schemeClr w14:val="tx1"/>
            </w14:solidFill>
          </w14:textFill>
        </w:rPr>
        <w:t>3</w:t>
      </w:r>
      <w:r>
        <w:rPr>
          <w:bCs/>
          <w:color w:val="000000" w:themeColor="text1"/>
          <w:sz w:val="24"/>
          <w:lang w:eastAsia="zh-CN"/>
          <w14:textFill>
            <w14:solidFill>
              <w14:schemeClr w14:val="tx1"/>
            </w14:solidFill>
          </w14:textFill>
        </w:rPr>
        <w:t>0%÷</w:t>
      </w:r>
      <w:r>
        <w:rPr>
          <w:rFonts w:hint="eastAsia"/>
          <w:bCs/>
          <w:color w:val="000000" w:themeColor="text1"/>
          <w:sz w:val="24"/>
          <w:lang w:eastAsia="zh-CN"/>
          <w14:textFill>
            <w14:solidFill>
              <w14:schemeClr w14:val="tx1"/>
            </w14:solidFill>
          </w14:textFill>
        </w:rPr>
        <w:t>当年天数</w:t>
      </w:r>
    </w:p>
    <w:p w14:paraId="15DAC14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H</w:t>
      </w:r>
      <w:r>
        <w:rPr>
          <w:rFonts w:hint="eastAsia"/>
          <w:bCs/>
          <w:color w:val="000000" w:themeColor="text1"/>
          <w:sz w:val="24"/>
          <w:lang w:eastAsia="zh-CN"/>
          <w14:textFill>
            <w14:solidFill>
              <w14:schemeClr w14:val="tx1"/>
            </w14:solidFill>
          </w14:textFill>
        </w:rPr>
        <w:t>为每日应计提的基金管理费</w:t>
      </w:r>
    </w:p>
    <w:p w14:paraId="760E729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E</w:t>
      </w:r>
      <w:r>
        <w:rPr>
          <w:rFonts w:hint="eastAsia"/>
          <w:bCs/>
          <w:color w:val="000000" w:themeColor="text1"/>
          <w:sz w:val="24"/>
          <w:lang w:eastAsia="zh-CN"/>
          <w14:textFill>
            <w14:solidFill>
              <w14:schemeClr w14:val="tx1"/>
            </w14:solidFill>
          </w14:textFill>
        </w:rPr>
        <w:t>为前一日的基金资产净值</w:t>
      </w:r>
    </w:p>
    <w:p w14:paraId="115EB48D">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基金管理费每日计算，逐日累计至每月月末，按月支付，由基金管理人向基金托管人发送基金管理费划款指令，基金托管人复核后于次月前</w:t>
      </w: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个工作日内从基金财产中一次性支付给基金管理人。若遇法定节假日、公休日或不可抗力致使无法按时支付的，顺延至最近可支付日支付。</w:t>
      </w:r>
    </w:p>
    <w:p w14:paraId="5A56FC6F">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、基金托管人的托管费</w:t>
      </w:r>
    </w:p>
    <w:p w14:paraId="133B94F4">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本基金的托管费按前一日基金资产净值的</w:t>
      </w:r>
      <w:r>
        <w:rPr>
          <w:bCs/>
          <w:color w:val="000000" w:themeColor="text1"/>
          <w:sz w:val="24"/>
          <w:lang w:eastAsia="zh-CN"/>
          <w14:textFill>
            <w14:solidFill>
              <w14:schemeClr w14:val="tx1"/>
            </w14:solidFill>
          </w14:textFill>
        </w:rPr>
        <w:t>0.</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的年费率计提。托管费的计算方法如下：</w:t>
      </w:r>
    </w:p>
    <w:p w14:paraId="34A6068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H</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E×0.</w:t>
      </w:r>
      <w:r>
        <w:rPr>
          <w:rFonts w:hint="eastAsia"/>
          <w:bCs/>
          <w:color w:val="000000" w:themeColor="text1"/>
          <w:sz w:val="24"/>
          <w:lang w:eastAsia="zh-CN"/>
          <w14:textFill>
            <w14:solidFill>
              <w14:schemeClr w14:val="tx1"/>
            </w14:solidFill>
          </w14:textFill>
        </w:rPr>
        <w:t>10</w:t>
      </w: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当年天数</w:t>
      </w:r>
    </w:p>
    <w:p w14:paraId="5748A445">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H</w:t>
      </w:r>
      <w:r>
        <w:rPr>
          <w:rFonts w:hint="eastAsia"/>
          <w:bCs/>
          <w:color w:val="000000" w:themeColor="text1"/>
          <w:sz w:val="24"/>
          <w:lang w:eastAsia="zh-CN"/>
          <w14:textFill>
            <w14:solidFill>
              <w14:schemeClr w14:val="tx1"/>
            </w14:solidFill>
          </w14:textFill>
        </w:rPr>
        <w:t>为每日应计提的基金托管费</w:t>
      </w:r>
    </w:p>
    <w:p w14:paraId="75EE972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E</w:t>
      </w:r>
      <w:r>
        <w:rPr>
          <w:rFonts w:hint="eastAsia"/>
          <w:bCs/>
          <w:color w:val="000000" w:themeColor="text1"/>
          <w:sz w:val="24"/>
          <w:lang w:eastAsia="zh-CN"/>
          <w14:textFill>
            <w14:solidFill>
              <w14:schemeClr w14:val="tx1"/>
            </w14:solidFill>
          </w14:textFill>
        </w:rPr>
        <w:t>为前一日的基金资产净值</w:t>
      </w:r>
    </w:p>
    <w:p w14:paraId="0B0737A8">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基金托管费每日计算，逐日累计至每月月末，按月支付，由基金管理人向基金托管人发送基金托管费划款指令，基金托管人复核后于次月前</w:t>
      </w: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个工作日内从基金财产中一次性支取。若遇法定节假日、公休日或不可抗力致使无法按时支付的，顺延至最近可支付日支付。</w:t>
      </w:r>
    </w:p>
    <w:p w14:paraId="070BD559">
      <w:pPr>
        <w:adjustRightInd w:val="0"/>
        <w:snapToGrid w:val="0"/>
        <w:spacing w:line="360" w:lineRule="auto"/>
        <w:ind w:firstLine="480" w:firstLineChars="200"/>
        <w:rPr>
          <w:bCs/>
          <w:sz w:val="24"/>
          <w:szCs w:val="24"/>
          <w:lang w:eastAsia="zh-CN"/>
        </w:rPr>
      </w:pPr>
      <w:r>
        <w:rPr>
          <w:rFonts w:hint="eastAsia"/>
          <w:bCs/>
          <w:color w:val="000000" w:themeColor="text1"/>
          <w:sz w:val="24"/>
          <w:lang w:eastAsia="zh-CN"/>
          <w14:textFill>
            <w14:solidFill>
              <w14:schemeClr w14:val="tx1"/>
            </w14:solidFill>
          </w14:textFill>
        </w:rPr>
        <w:t>上述</w:t>
      </w:r>
      <w:r>
        <w:rPr>
          <w:bCs/>
          <w:color w:val="000000" w:themeColor="text1"/>
          <w:sz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（一）基金费用的种类”中第</w:t>
      </w: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9</w:t>
      </w:r>
      <w:r>
        <w:rPr>
          <w:rFonts w:hint="eastAsia"/>
          <w:bCs/>
          <w:color w:val="000000" w:themeColor="text1"/>
          <w:sz w:val="24"/>
          <w:lang w:eastAsia="zh-CN"/>
          <w14:textFill>
            <w14:solidFill>
              <w14:schemeClr w14:val="tx1"/>
            </w14:solidFill>
          </w14:textFill>
        </w:rPr>
        <w:t>项费用，根据有关法规及相应协议规定，按费用实际支出金额列入或摊入当期费用，由基金托管人从基金财产中支付。</w:t>
      </w:r>
    </w:p>
    <w:p w14:paraId="7B4118AC">
      <w:pPr>
        <w:adjustRightInd w:val="0"/>
        <w:snapToGrid w:val="0"/>
        <w:spacing w:line="360" w:lineRule="auto"/>
        <w:ind w:firstLine="480" w:firstLineChars="200"/>
        <w:rPr>
          <w:bCs/>
          <w:sz w:val="24"/>
          <w:lang w:eastAsia="zh-CN"/>
        </w:rPr>
      </w:pPr>
      <w:r>
        <w:rPr>
          <w:rFonts w:hint="eastAsia"/>
          <w:bCs/>
          <w:sz w:val="24"/>
          <w:lang w:eastAsia="zh-CN"/>
        </w:rPr>
        <w:t>（三）不列入基金费用的项目</w:t>
      </w:r>
    </w:p>
    <w:p w14:paraId="468AD111">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下列费用不列入基金费用：</w:t>
      </w:r>
    </w:p>
    <w:p w14:paraId="09455742">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、基金管理人和基金托管人因未履行或未完全履行义务导致的费用支出或基金财产的损失；</w:t>
      </w:r>
    </w:p>
    <w:p w14:paraId="6EFA4F0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、基金管理人和基金托管人处理与基金运作无关的事项发生的费用；</w:t>
      </w:r>
    </w:p>
    <w:p w14:paraId="3E1CE9C7">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、《基金合同》生效前的相关费用；</w:t>
      </w:r>
    </w:p>
    <w:p w14:paraId="54BFE69F">
      <w:pPr>
        <w:adjustRightInd w:val="0"/>
        <w:snapToGrid w:val="0"/>
        <w:spacing w:line="360" w:lineRule="auto"/>
        <w:ind w:firstLine="480" w:firstLineChars="200"/>
        <w:rPr>
          <w:bCs/>
          <w:sz w:val="24"/>
          <w:lang w:eastAsia="zh-CN"/>
        </w:rPr>
      </w:pP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、其他根据相关法律法规及中国证监会的有关规定不得列入基金费用的项目。</w:t>
      </w:r>
    </w:p>
    <w:p w14:paraId="354CFE71">
      <w:pPr>
        <w:adjustRightInd w:val="0"/>
        <w:snapToGrid w:val="0"/>
        <w:spacing w:line="360" w:lineRule="auto"/>
        <w:ind w:firstLine="480" w:firstLineChars="200"/>
        <w:rPr>
          <w:sz w:val="24"/>
          <w:lang w:eastAsia="zh-CN"/>
        </w:rPr>
      </w:pPr>
      <w:r>
        <w:rPr>
          <w:rFonts w:hint="eastAsia"/>
          <w:sz w:val="24"/>
          <w:lang w:eastAsia="zh-CN"/>
        </w:rPr>
        <w:t>（四）实施侧袋机制期间的基金费用</w:t>
      </w:r>
    </w:p>
    <w:p w14:paraId="6DF7734D">
      <w:pPr>
        <w:adjustRightInd w:val="0"/>
        <w:snapToGrid w:val="0"/>
        <w:spacing w:line="360" w:lineRule="auto"/>
        <w:ind w:firstLine="480" w:firstLineChars="200"/>
        <w:rPr>
          <w:sz w:val="24"/>
          <w:lang w:eastAsia="zh-CN"/>
        </w:rPr>
      </w:pPr>
      <w:r>
        <w:rPr>
          <w:rFonts w:hint="eastAsia"/>
          <w:color w:val="000000" w:themeColor="text1"/>
          <w:sz w:val="24"/>
          <w:lang w:eastAsia="zh-CN"/>
          <w14:textFill>
            <w14:solidFill>
              <w14:schemeClr w14:val="tx1"/>
            </w14:solidFill>
          </w14:textFill>
        </w:rPr>
        <w:t>本基金实施侧袋机制的，与侧袋账户有关的费用可以从侧袋账户中列支，但应待侧袋账户资产变现后方可列支，有关费用可酌情收取或减免，但不得收取管理费，详见招募说明书的规定。</w:t>
      </w:r>
    </w:p>
    <w:p w14:paraId="1EE7D107">
      <w:pPr>
        <w:adjustRightInd w:val="0"/>
        <w:snapToGrid w:val="0"/>
        <w:spacing w:line="360" w:lineRule="auto"/>
        <w:ind w:firstLine="480" w:firstLineChars="200"/>
        <w:rPr>
          <w:bCs/>
          <w:sz w:val="24"/>
          <w:lang w:eastAsia="zh-CN"/>
        </w:rPr>
      </w:pPr>
      <w:r>
        <w:rPr>
          <w:rFonts w:hint="eastAsia"/>
          <w:bCs/>
          <w:sz w:val="24"/>
          <w:lang w:eastAsia="zh-CN"/>
        </w:rPr>
        <w:t>（五）基金税收</w:t>
      </w:r>
    </w:p>
    <w:p w14:paraId="0CCDE43B">
      <w:pPr>
        <w:adjustRightInd w:val="0"/>
        <w:snapToGrid w:val="0"/>
        <w:spacing w:line="360" w:lineRule="auto"/>
        <w:ind w:firstLine="480" w:firstLineChars="200"/>
        <w:rPr>
          <w:bCs/>
          <w:sz w:val="24"/>
          <w:lang w:eastAsia="zh-CN"/>
        </w:rPr>
      </w:pPr>
      <w:r>
        <w:rPr>
          <w:rFonts w:hint="eastAsia"/>
          <w:bCs/>
          <w:color w:val="000000" w:themeColor="text1"/>
          <w:sz w:val="24"/>
          <w:lang w:eastAsia="zh-CN"/>
          <w14:textFill>
            <w14:solidFill>
              <w14:schemeClr w14:val="tx1"/>
            </w14:solidFill>
          </w14:textFill>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0BFB6FC5">
      <w:pPr>
        <w:adjustRightInd w:val="0"/>
        <w:snapToGrid w:val="0"/>
        <w:spacing w:line="360" w:lineRule="auto"/>
        <w:ind w:firstLine="480" w:firstLineChars="200"/>
        <w:rPr>
          <w:bCs/>
          <w:sz w:val="24"/>
          <w:lang w:eastAsia="zh-CN"/>
        </w:rPr>
      </w:pPr>
      <w:r>
        <w:rPr>
          <w:rFonts w:hint="eastAsia"/>
          <w:bCs/>
          <w:sz w:val="24"/>
          <w:lang w:eastAsia="zh-CN"/>
        </w:rPr>
        <w:t>五、基金财产的投资方向和投资限制</w:t>
      </w:r>
    </w:p>
    <w:p w14:paraId="6F012731">
      <w:pPr>
        <w:adjustRightInd w:val="0"/>
        <w:snapToGrid w:val="0"/>
        <w:spacing w:line="360" w:lineRule="auto"/>
        <w:ind w:firstLine="480" w:firstLineChars="200"/>
        <w:rPr>
          <w:bCs/>
          <w:sz w:val="24"/>
          <w:lang w:eastAsia="zh-CN"/>
        </w:rPr>
      </w:pPr>
      <w:r>
        <w:rPr>
          <w:rFonts w:hint="eastAsia"/>
          <w:bCs/>
          <w:sz w:val="24"/>
          <w:lang w:eastAsia="zh-CN"/>
        </w:rPr>
        <w:t>（一）投资范围</w:t>
      </w:r>
    </w:p>
    <w:p w14:paraId="320724EC">
      <w:pPr>
        <w:spacing w:line="360" w:lineRule="auto"/>
        <w:ind w:firstLine="480"/>
        <w:rPr>
          <w:bCs/>
          <w:sz w:val="24"/>
          <w:lang w:eastAsia="zh-CN"/>
        </w:rPr>
      </w:pPr>
      <w:r>
        <w:rPr>
          <w:bCs/>
          <w:sz w:val="24"/>
          <w:lang w:eastAsia="zh-CN"/>
        </w:rPr>
        <w:t>本基金的投资范围</w:t>
      </w:r>
      <w:r>
        <w:rPr>
          <w:rFonts w:hint="eastAsia"/>
          <w:bCs/>
          <w:sz w:val="24"/>
          <w:lang w:eastAsia="zh-CN"/>
        </w:rPr>
        <w:t>主要</w:t>
      </w:r>
      <w:r>
        <w:rPr>
          <w:bCs/>
          <w:sz w:val="24"/>
          <w:lang w:eastAsia="zh-CN"/>
        </w:rPr>
        <w:t>为具有良好流动性的金融工具，包括债券</w:t>
      </w:r>
      <w:r>
        <w:rPr>
          <w:rFonts w:hint="eastAsia"/>
          <w:bCs/>
          <w:sz w:val="24"/>
          <w:lang w:eastAsia="zh-CN"/>
        </w:rPr>
        <w:t>（国债、政策性金融债、地方政府债、金融债、央行票据等）、债券回购、同业存单、银行存款（包括协议存款、定期存款及其他银行存款）、现金</w:t>
      </w:r>
      <w:r>
        <w:rPr>
          <w:bCs/>
          <w:sz w:val="24"/>
          <w:lang w:eastAsia="zh-CN"/>
        </w:rPr>
        <w:t>以及法律法规或中国证监会允许基金投资的其他金融工具（但须符合中国证监会相关规定）。</w:t>
      </w:r>
    </w:p>
    <w:p w14:paraId="200721BB">
      <w:pPr>
        <w:spacing w:line="360" w:lineRule="auto"/>
        <w:ind w:firstLine="480"/>
        <w:rPr>
          <w:bCs/>
          <w:sz w:val="24"/>
          <w:lang w:eastAsia="zh-CN"/>
        </w:rPr>
      </w:pPr>
      <w:r>
        <w:rPr>
          <w:rFonts w:hint="eastAsia"/>
          <w:bCs/>
          <w:sz w:val="24"/>
          <w:lang w:eastAsia="zh-CN"/>
        </w:rPr>
        <w:t>本基金不投资股票、可转换债券、可交换债券。</w:t>
      </w:r>
    </w:p>
    <w:p w14:paraId="2A57E22C">
      <w:pPr>
        <w:spacing w:line="360" w:lineRule="auto"/>
        <w:ind w:firstLine="480"/>
        <w:rPr>
          <w:bCs/>
          <w:lang w:eastAsia="zh-CN"/>
        </w:rPr>
      </w:pPr>
      <w:r>
        <w:rPr>
          <w:bCs/>
          <w:sz w:val="24"/>
          <w:lang w:eastAsia="zh-CN"/>
        </w:rPr>
        <w:t>如法律法规或监管机构以后允许基金投资其他品种，基金管理人在履行适当程序后，可以将其纳入投资范围。</w:t>
      </w:r>
    </w:p>
    <w:p w14:paraId="3E28CF13">
      <w:pPr>
        <w:adjustRightInd w:val="0"/>
        <w:snapToGrid w:val="0"/>
        <w:spacing w:line="360" w:lineRule="auto"/>
        <w:ind w:firstLine="480" w:firstLineChars="200"/>
        <w:rPr>
          <w:bCs/>
          <w:iCs/>
          <w:sz w:val="24"/>
          <w:lang w:eastAsia="zh-CN"/>
        </w:rPr>
      </w:pPr>
      <w:r>
        <w:rPr>
          <w:bCs/>
          <w:sz w:val="24"/>
          <w:lang w:eastAsia="zh-CN"/>
        </w:rPr>
        <w:t>基金的投资组合比例为：</w:t>
      </w:r>
      <w:r>
        <w:rPr>
          <w:rFonts w:hint="eastAsia"/>
          <w:bCs/>
          <w:sz w:val="24"/>
          <w:lang w:eastAsia="zh-CN"/>
        </w:rPr>
        <w:t>本基金对债券的投资比例不低于基金资产的80%，但应开放期流动性需要，为保护基金份额持有人利益，在每次开放期开始前10个工作日、开放期及开放期结束后10个工作日的期间内，基金投资不受上述比例限制。在开放期内，本基金持有的现金（不包括结算备付金、存出保证金、应收申购款等）或者到期日在一年以内的政府债券不低于基金资产净值的5%，在封闭期本基金不受前述5%的限制。</w:t>
      </w:r>
    </w:p>
    <w:p w14:paraId="686839F1">
      <w:pPr>
        <w:adjustRightInd w:val="0"/>
        <w:snapToGrid w:val="0"/>
        <w:spacing w:line="360" w:lineRule="auto"/>
        <w:ind w:firstLine="480" w:firstLineChars="200"/>
        <w:rPr>
          <w:bCs/>
          <w:sz w:val="24"/>
          <w:lang w:eastAsia="zh-CN"/>
        </w:rPr>
      </w:pPr>
      <w:r>
        <w:rPr>
          <w:rFonts w:hint="eastAsia"/>
          <w:bCs/>
          <w:sz w:val="24"/>
          <w:lang w:eastAsia="zh-CN"/>
        </w:rPr>
        <w:t>（二）投资限制</w:t>
      </w:r>
    </w:p>
    <w:p w14:paraId="3F2C760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、组合限制</w:t>
      </w:r>
    </w:p>
    <w:p w14:paraId="7A3E4B12">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基金的投资组合应遵循以下限制：</w:t>
      </w:r>
    </w:p>
    <w:p w14:paraId="7CC88B29">
      <w:pPr>
        <w:spacing w:line="360" w:lineRule="auto"/>
        <w:ind w:firstLine="480" w:firstLineChars="200"/>
        <w:rPr>
          <w:bCs/>
          <w:sz w:val="24"/>
          <w:lang w:eastAsia="zh-CN"/>
        </w:rPr>
      </w:pPr>
      <w:r>
        <w:rPr>
          <w:bCs/>
          <w:sz w:val="24"/>
          <w:lang w:eastAsia="zh-CN"/>
        </w:rPr>
        <w:t>（1）</w:t>
      </w:r>
      <w:r>
        <w:rPr>
          <w:rFonts w:hint="eastAsia"/>
          <w:bCs/>
          <w:sz w:val="24"/>
          <w:lang w:eastAsia="zh-CN"/>
        </w:rPr>
        <w:t>本基金对债券的投资比例不低于基金资产的80%，但应开放期流动性需要，为保护基金份额持有人利益，在每次开放期开始前10个工作日、开放期及开放期结束后10个工作日的期间内，基金投资不受上述比例限制</w:t>
      </w:r>
      <w:r>
        <w:rPr>
          <w:bCs/>
          <w:sz w:val="24"/>
          <w:lang w:eastAsia="zh-CN"/>
        </w:rPr>
        <w:t>；</w:t>
      </w:r>
    </w:p>
    <w:p w14:paraId="0D071AFC">
      <w:pPr>
        <w:spacing w:line="360" w:lineRule="auto"/>
        <w:ind w:firstLine="480" w:firstLineChars="200"/>
        <w:rPr>
          <w:bCs/>
          <w:color w:val="000000" w:themeColor="text1"/>
          <w:sz w:val="24"/>
          <w:lang w:eastAsia="zh-CN"/>
          <w14:textFill>
            <w14:solidFill>
              <w14:schemeClr w14:val="tx1"/>
            </w14:solidFill>
          </w14:textFill>
        </w:rPr>
      </w:pPr>
      <w:r>
        <w:rPr>
          <w:bCs/>
          <w:sz w:val="24"/>
          <w:lang w:eastAsia="zh-CN"/>
        </w:rPr>
        <w:t>（</w:t>
      </w:r>
      <w:r>
        <w:rPr>
          <w:rFonts w:hint="eastAsia"/>
          <w:bCs/>
          <w:sz w:val="24"/>
          <w:lang w:eastAsia="zh-CN"/>
        </w:rPr>
        <w:t>2</w:t>
      </w:r>
      <w:r>
        <w:rPr>
          <w:bCs/>
          <w:sz w:val="24"/>
          <w:lang w:eastAsia="zh-CN"/>
        </w:rPr>
        <w:t>）</w:t>
      </w:r>
      <w:r>
        <w:rPr>
          <w:rFonts w:hint="eastAsia"/>
          <w:bCs/>
          <w:sz w:val="24"/>
          <w:lang w:eastAsia="zh-CN"/>
        </w:rPr>
        <w:t>开放期内，</w:t>
      </w:r>
      <w:r>
        <w:rPr>
          <w:bCs/>
          <w:sz w:val="24"/>
          <w:lang w:eastAsia="zh-CN"/>
        </w:rPr>
        <w:t>保持不低于基金资产净值</w:t>
      </w:r>
      <w:r>
        <w:rPr>
          <w:rFonts w:hint="eastAsia"/>
          <w:bCs/>
          <w:sz w:val="24"/>
          <w:lang w:eastAsia="zh-CN"/>
        </w:rPr>
        <w:t>5%</w:t>
      </w:r>
      <w:r>
        <w:rPr>
          <w:bCs/>
          <w:sz w:val="24"/>
          <w:lang w:eastAsia="zh-CN"/>
        </w:rPr>
        <w:t>的现金或者到期日在一年以内的政府债券</w:t>
      </w:r>
      <w:r>
        <w:rPr>
          <w:rFonts w:hint="eastAsia"/>
          <w:bCs/>
          <w:sz w:val="24"/>
          <w:lang w:eastAsia="zh-CN"/>
        </w:rPr>
        <w:t>，在封闭期内，本基金不受上述5%的限制；</w:t>
      </w:r>
      <w:r>
        <w:rPr>
          <w:bCs/>
          <w:sz w:val="24"/>
          <w:lang w:eastAsia="zh-CN"/>
        </w:rPr>
        <w:t>其中现金不包括结算备付金、存出保证金和应收申购款等；</w:t>
      </w:r>
    </w:p>
    <w:p w14:paraId="7069232C">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）本基金持有一家公司发行的证券，其市值不超过基金资产净值的</w:t>
      </w:r>
      <w:r>
        <w:rPr>
          <w:bCs/>
          <w:color w:val="000000" w:themeColor="text1"/>
          <w:sz w:val="24"/>
          <w:lang w:eastAsia="zh-CN"/>
          <w14:textFill>
            <w14:solidFill>
              <w14:schemeClr w14:val="tx1"/>
            </w14:solidFill>
          </w14:textFill>
        </w:rPr>
        <w:t>10</w:t>
      </w:r>
      <w:r>
        <w:rPr>
          <w:rFonts w:hint="eastAsia"/>
          <w:bCs/>
          <w:color w:val="000000" w:themeColor="text1"/>
          <w:sz w:val="24"/>
          <w:lang w:eastAsia="zh-CN"/>
          <w14:textFill>
            <w14:solidFill>
              <w14:schemeClr w14:val="tx1"/>
            </w14:solidFill>
          </w14:textFill>
        </w:rPr>
        <w:t>%；</w:t>
      </w:r>
    </w:p>
    <w:p w14:paraId="6D370CE5">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）本基金管理人管理的全部基金持有一家公司发行的证券，不超过该证券的</w:t>
      </w:r>
      <w:r>
        <w:rPr>
          <w:bCs/>
          <w:color w:val="000000" w:themeColor="text1"/>
          <w:sz w:val="24"/>
          <w:lang w:eastAsia="zh-CN"/>
          <w14:textFill>
            <w14:solidFill>
              <w14:schemeClr w14:val="tx1"/>
            </w14:solidFill>
          </w14:textFill>
        </w:rPr>
        <w:t>10</w:t>
      </w:r>
      <w:r>
        <w:rPr>
          <w:rFonts w:hint="eastAsia"/>
          <w:bCs/>
          <w:color w:val="000000" w:themeColor="text1"/>
          <w:sz w:val="24"/>
          <w:lang w:eastAsia="zh-CN"/>
          <w14:textFill>
            <w14:solidFill>
              <w14:schemeClr w14:val="tx1"/>
            </w14:solidFill>
          </w14:textFill>
        </w:rPr>
        <w:t>%；</w:t>
      </w:r>
    </w:p>
    <w:p w14:paraId="11799B24">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）本基金进入全国银行间同业市场进行债券回购的最长期限为</w:t>
      </w: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年，债券回购到期后不得展期；</w:t>
      </w:r>
    </w:p>
    <w:p w14:paraId="709137E4">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6</w:t>
      </w:r>
      <w:r>
        <w:rPr>
          <w:rFonts w:hint="eastAsia"/>
          <w:bCs/>
          <w:color w:val="000000" w:themeColor="text1"/>
          <w:sz w:val="24"/>
          <w:lang w:eastAsia="zh-CN"/>
          <w14:textFill>
            <w14:solidFill>
              <w14:schemeClr w14:val="tx1"/>
            </w14:solidFill>
          </w14:textFill>
        </w:rPr>
        <w:t>）封闭期内，本基金资产总值不得超过基金资产净值的</w:t>
      </w:r>
      <w:r>
        <w:rPr>
          <w:bCs/>
          <w:color w:val="000000" w:themeColor="text1"/>
          <w:sz w:val="24"/>
          <w:lang w:eastAsia="zh-CN"/>
          <w14:textFill>
            <w14:solidFill>
              <w14:schemeClr w14:val="tx1"/>
            </w14:solidFill>
          </w14:textFill>
        </w:rPr>
        <w:t>200%</w:t>
      </w:r>
      <w:r>
        <w:rPr>
          <w:rFonts w:hint="eastAsia"/>
          <w:bCs/>
          <w:color w:val="000000" w:themeColor="text1"/>
          <w:sz w:val="24"/>
          <w:lang w:eastAsia="zh-CN"/>
          <w14:textFill>
            <w14:solidFill>
              <w14:schemeClr w14:val="tx1"/>
            </w14:solidFill>
          </w14:textFill>
        </w:rPr>
        <w:t>；开放期内，本基金资产总值不超过基金资产净值的</w:t>
      </w:r>
      <w:r>
        <w:rPr>
          <w:bCs/>
          <w:color w:val="000000" w:themeColor="text1"/>
          <w:sz w:val="24"/>
          <w:lang w:eastAsia="zh-CN"/>
          <w14:textFill>
            <w14:solidFill>
              <w14:schemeClr w14:val="tx1"/>
            </w14:solidFill>
          </w14:textFill>
        </w:rPr>
        <w:t>140%</w:t>
      </w:r>
      <w:r>
        <w:rPr>
          <w:rFonts w:hint="eastAsia"/>
          <w:bCs/>
          <w:color w:val="000000" w:themeColor="text1"/>
          <w:sz w:val="24"/>
          <w:lang w:eastAsia="zh-CN"/>
          <w14:textFill>
            <w14:solidFill>
              <w14:schemeClr w14:val="tx1"/>
            </w14:solidFill>
          </w14:textFill>
        </w:rPr>
        <w:t>；</w:t>
      </w:r>
    </w:p>
    <w:p w14:paraId="7FDAB4B7">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7</w:t>
      </w:r>
      <w:r>
        <w:rPr>
          <w:rFonts w:hint="eastAsia"/>
          <w:bCs/>
          <w:color w:val="000000" w:themeColor="text1"/>
          <w:sz w:val="24"/>
          <w:lang w:eastAsia="zh-CN"/>
          <w14:textFill>
            <w14:solidFill>
              <w14:schemeClr w14:val="tx1"/>
            </w14:solidFill>
          </w14:textFill>
        </w:rPr>
        <w:t>）开放期内，本基金主动投资于流动性受限资产的市值合计不得超过该基金资产净值的</w:t>
      </w:r>
      <w:r>
        <w:rPr>
          <w:bCs/>
          <w:color w:val="000000" w:themeColor="text1"/>
          <w:sz w:val="24"/>
          <w:lang w:eastAsia="zh-CN"/>
          <w14:textFill>
            <w14:solidFill>
              <w14:schemeClr w14:val="tx1"/>
            </w14:solidFill>
          </w14:textFill>
        </w:rPr>
        <w:t>15%</w:t>
      </w:r>
      <w:r>
        <w:rPr>
          <w:rFonts w:hint="eastAsia"/>
          <w:bCs/>
          <w:color w:val="000000" w:themeColor="text1"/>
          <w:sz w:val="24"/>
          <w:lang w:eastAsia="zh-CN"/>
          <w14:textFill>
            <w14:solidFill>
              <w14:schemeClr w14:val="tx1"/>
            </w14:solidFill>
          </w14:textFill>
        </w:rPr>
        <w:t>；因证券市场波动、基金规模变动等基金管理人之外的因素致使基金不符合该比例限制的，基金管理人不得主动新增流动性受限资产的投资；</w:t>
      </w:r>
    </w:p>
    <w:p w14:paraId="4C2A3CFA">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8</w:t>
      </w:r>
      <w:r>
        <w:rPr>
          <w:rFonts w:hint="eastAsia"/>
          <w:bCs/>
          <w:color w:val="000000" w:themeColor="text1"/>
          <w:sz w:val="24"/>
          <w:lang w:eastAsia="zh-CN"/>
          <w14:textFill>
            <w14:solidFill>
              <w14:schemeClr w14:val="tx1"/>
            </w14:solidFill>
          </w14:textFill>
        </w:rPr>
        <w:t>）本基金与私募类证券资管产品及中国证监会认定的其他主体为交易对手开展逆回购交易的，可接受质押品的资质要求应当与本基金合同约定的投资范围保持一致；</w:t>
      </w:r>
    </w:p>
    <w:p w14:paraId="4487F6AC">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9</w:t>
      </w:r>
      <w:r>
        <w:rPr>
          <w:rFonts w:hint="eastAsia"/>
          <w:bCs/>
          <w:color w:val="000000" w:themeColor="text1"/>
          <w:sz w:val="24"/>
          <w:lang w:eastAsia="zh-CN"/>
          <w14:textFill>
            <w14:solidFill>
              <w14:schemeClr w14:val="tx1"/>
            </w14:solidFill>
          </w14:textFill>
        </w:rPr>
        <w:t>）法律法规及中国证监会规定的和《基金合同》约定的其他投资限制。</w:t>
      </w:r>
    </w:p>
    <w:p w14:paraId="2A1E6E05">
      <w:pPr>
        <w:spacing w:line="360" w:lineRule="auto"/>
        <w:ind w:firstLine="480" w:firstLineChars="200"/>
        <w:rPr>
          <w:bCs/>
          <w:color w:val="000000" w:themeColor="text1"/>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除上述（</w:t>
      </w: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7</w:t>
      </w: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8</w:t>
      </w:r>
      <w:r>
        <w:rPr>
          <w:rFonts w:hint="eastAsia"/>
          <w:bCs/>
          <w:color w:val="000000" w:themeColor="text1"/>
          <w:sz w:val="24"/>
          <w:lang w:eastAsia="zh-CN"/>
          <w14:textFill>
            <w14:solidFill>
              <w14:schemeClr w14:val="tx1"/>
            </w14:solidFill>
          </w14:textFill>
        </w:rPr>
        <w:t>）情形之外，因证券市场波动、证券发行人合并、基金规模变动等基金管理人之外的因素致使基金投资比例不符合上述规定投资比例的，基金管理人应当在</w:t>
      </w:r>
      <w:r>
        <w:rPr>
          <w:bCs/>
          <w:color w:val="000000" w:themeColor="text1"/>
          <w:sz w:val="24"/>
          <w:lang w:eastAsia="zh-CN"/>
          <w14:textFill>
            <w14:solidFill>
              <w14:schemeClr w14:val="tx1"/>
            </w14:solidFill>
          </w14:textFill>
        </w:rPr>
        <w:t>10</w:t>
      </w:r>
      <w:r>
        <w:rPr>
          <w:rFonts w:hint="eastAsia"/>
          <w:bCs/>
          <w:color w:val="000000" w:themeColor="text1"/>
          <w:sz w:val="24"/>
          <w:lang w:eastAsia="zh-CN"/>
          <w14:textFill>
            <w14:solidFill>
              <w14:schemeClr w14:val="tx1"/>
            </w14:solidFill>
          </w14:textFill>
        </w:rPr>
        <w:t>个交易日内进行调整，但中国证监会规定的特殊情形除外。</w:t>
      </w:r>
    </w:p>
    <w:p w14:paraId="758C589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基金管理人应当自基金合同生效之日起</w:t>
      </w:r>
      <w:r>
        <w:rPr>
          <w:bCs/>
          <w:color w:val="000000" w:themeColor="text1"/>
          <w:sz w:val="24"/>
          <w:lang w:eastAsia="zh-CN"/>
          <w14:textFill>
            <w14:solidFill>
              <w14:schemeClr w14:val="tx1"/>
            </w14:solidFill>
          </w14:textFill>
        </w:rPr>
        <w:t>6</w:t>
      </w:r>
      <w:r>
        <w:rPr>
          <w:rFonts w:hint="eastAsia"/>
          <w:bCs/>
          <w:color w:val="000000" w:themeColor="text1"/>
          <w:sz w:val="24"/>
          <w:lang w:eastAsia="zh-CN"/>
          <w14:textFill>
            <w14:solidFill>
              <w14:schemeClr w14:val="tx1"/>
            </w14:solidFill>
          </w14:textFill>
        </w:rPr>
        <w:t>个月内使基金的投资组合比例符合基金合同的有关约定。在上述期间内，本基金的投资范围、投资策略应当符合基金合同的约定。基金托管人对基金的投资的监督与检查自本基金合同生效之日起开始。</w:t>
      </w:r>
    </w:p>
    <w:p w14:paraId="4EECF857">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如果法律法规或监管部门对上述投资组合比例限制进行变更的，则本基金投资以变更后的规定为准。法律法规或监管部门取消上述限制，如适用于本基金，基金管理人在履行适当程序后，则本基金投资不再受相关限制。</w:t>
      </w:r>
    </w:p>
    <w:p w14:paraId="7C95576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、禁止行为</w:t>
      </w:r>
    </w:p>
    <w:p w14:paraId="478847B1">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为维护基金份额持有人的合法权益，基金财产不得用于下列投资或者活动：</w:t>
      </w:r>
    </w:p>
    <w:p w14:paraId="68EB4376">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）承销证券；</w:t>
      </w:r>
    </w:p>
    <w:p w14:paraId="1662963F">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）违反规定向他人贷款或者提供担保；</w:t>
      </w:r>
    </w:p>
    <w:p w14:paraId="6EB6A6E6">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）从事承担无限责任的投资；</w:t>
      </w:r>
    </w:p>
    <w:p w14:paraId="0C64BC5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）买卖其他基金份额，但是中国证监会另有规定的除外；</w:t>
      </w:r>
    </w:p>
    <w:p w14:paraId="675EDE53">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）向其基金管理人、基金托管人出资；</w:t>
      </w:r>
    </w:p>
    <w:p w14:paraId="332A0250">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6</w:t>
      </w:r>
      <w:r>
        <w:rPr>
          <w:rFonts w:hint="eastAsia"/>
          <w:bCs/>
          <w:color w:val="000000" w:themeColor="text1"/>
          <w:sz w:val="24"/>
          <w:lang w:eastAsia="zh-CN"/>
          <w14:textFill>
            <w14:solidFill>
              <w14:schemeClr w14:val="tx1"/>
            </w14:solidFill>
          </w14:textFill>
        </w:rPr>
        <w:t>）从事内幕交易、操纵证券交易价格及其他不正当的证券交易活动；</w:t>
      </w:r>
    </w:p>
    <w:p w14:paraId="5B6EF98F">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7</w:t>
      </w:r>
      <w:r>
        <w:rPr>
          <w:rFonts w:hint="eastAsia"/>
          <w:bCs/>
          <w:color w:val="000000" w:themeColor="text1"/>
          <w:sz w:val="24"/>
          <w:lang w:eastAsia="zh-CN"/>
          <w14:textFill>
            <w14:solidFill>
              <w14:schemeClr w14:val="tx1"/>
            </w14:solidFill>
          </w14:textFill>
        </w:rPr>
        <w:t>）法律、行政法规和中国证监会规定禁止的其他活动。</w:t>
      </w:r>
    </w:p>
    <w:p w14:paraId="49F4A1D5">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458AF1D">
      <w:pPr>
        <w:adjustRightInd w:val="0"/>
        <w:snapToGrid w:val="0"/>
        <w:spacing w:line="360" w:lineRule="auto"/>
        <w:ind w:firstLine="480" w:firstLineChars="200"/>
        <w:rPr>
          <w:bCs/>
          <w:sz w:val="24"/>
          <w:lang w:eastAsia="zh-CN"/>
        </w:rPr>
      </w:pPr>
      <w:r>
        <w:rPr>
          <w:rFonts w:hint="eastAsia"/>
          <w:bCs/>
          <w:color w:val="000000" w:themeColor="text1"/>
          <w:sz w:val="24"/>
          <w:lang w:eastAsia="zh-CN"/>
          <w14:textFill>
            <w14:solidFill>
              <w14:schemeClr w14:val="tx1"/>
            </w14:solidFill>
          </w14:textFill>
        </w:rPr>
        <w:t>法律、行政法规或监管部门取消或变更上述禁止性或限制性规定，如适用于本基金，则基金管理人在履行适当程序后，本基金可不受上述规定的限制或以变更后的规定为准。</w:t>
      </w:r>
    </w:p>
    <w:p w14:paraId="0E157191">
      <w:pPr>
        <w:adjustRightInd w:val="0"/>
        <w:snapToGrid w:val="0"/>
        <w:spacing w:line="360" w:lineRule="auto"/>
        <w:ind w:firstLine="480" w:firstLineChars="200"/>
        <w:rPr>
          <w:sz w:val="24"/>
          <w:lang w:eastAsia="zh-CN"/>
        </w:rPr>
      </w:pPr>
      <w:r>
        <w:rPr>
          <w:rFonts w:hint="eastAsia"/>
          <w:sz w:val="24"/>
          <w:lang w:eastAsia="zh-CN"/>
        </w:rPr>
        <w:t>六、基金资产净值的计算方法和公告方式</w:t>
      </w:r>
    </w:p>
    <w:p w14:paraId="30170041">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（一）</w:t>
      </w:r>
      <w:r>
        <w:rPr>
          <w:rFonts w:hint="eastAsia"/>
          <w:bCs/>
          <w:color w:val="000000" w:themeColor="text1"/>
          <w:sz w:val="24"/>
          <w:lang w:eastAsia="zh-CN"/>
          <w14:textFill>
            <w14:solidFill>
              <w14:schemeClr w14:val="tx1"/>
            </w14:solidFill>
          </w14:textFill>
        </w:rPr>
        <w:t>基金资产净值的计算方法</w:t>
      </w:r>
    </w:p>
    <w:p w14:paraId="40B9726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、基金资产总值</w:t>
      </w:r>
    </w:p>
    <w:p w14:paraId="1EA5C71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基金资产总值是指基金购买的各类证券及票据价值、银行存款本息和基金应收的申购基金款以及其他投资所形成的价值总和。</w:t>
      </w:r>
    </w:p>
    <w:p w14:paraId="7ACD1889">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、基金资产净值</w:t>
      </w:r>
    </w:p>
    <w:p w14:paraId="2AAE39C9">
      <w:pPr>
        <w:adjustRightInd w:val="0"/>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基金资产净值是指基金资产总值减去基金负债后的价值。</w:t>
      </w:r>
    </w:p>
    <w:p w14:paraId="1834181C">
      <w:pPr>
        <w:adjustRightInd w:val="0"/>
        <w:spacing w:line="360" w:lineRule="auto"/>
        <w:ind w:firstLine="480" w:firstLineChars="200"/>
        <w:rPr>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（二）公告方式</w:t>
      </w:r>
    </w:p>
    <w:p w14:paraId="5916D0AC">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《基金合同》生效后，在本基金封闭期内，份额申购或者赎回前，基金管理人应当至少每周在规定网站披露一次基金份额净值和基金份额累计净值。</w:t>
      </w:r>
    </w:p>
    <w:p w14:paraId="69F68344">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在开放期内，基金管理人应当在不晚于每个开放日的次日，通过规定网站、基金份额销售机构网站或者营业网点，披露开放日的基金份额净值和基金份额累计净值。</w:t>
      </w:r>
    </w:p>
    <w:p w14:paraId="253301EA">
      <w:pPr>
        <w:adjustRightInd w:val="0"/>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基金管理人应当在不晚于半年度和年度最后一日的次日，在规定网站披露半年度和年度最后一日的基金份额净值和基金份额累计净值。</w:t>
      </w:r>
    </w:p>
    <w:p w14:paraId="11D9DE76">
      <w:pPr>
        <w:adjustRightInd w:val="0"/>
        <w:spacing w:line="360" w:lineRule="auto"/>
        <w:ind w:firstLine="480" w:firstLineChars="200"/>
        <w:rPr>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（三）实施侧袋机制期间的基金资产估值</w:t>
      </w:r>
    </w:p>
    <w:p w14:paraId="0B39D3B9">
      <w:pPr>
        <w:adjustRightInd w:val="0"/>
        <w:snapToGrid w:val="0"/>
        <w:spacing w:line="360" w:lineRule="auto"/>
        <w:ind w:firstLine="480" w:firstLineChars="200"/>
        <w:rPr>
          <w:sz w:val="24"/>
          <w:szCs w:val="24"/>
          <w:lang w:eastAsia="zh-CN"/>
        </w:rPr>
      </w:pPr>
      <w:r>
        <w:rPr>
          <w:rFonts w:hint="eastAsia"/>
          <w:color w:val="000000" w:themeColor="text1"/>
          <w:sz w:val="24"/>
          <w:lang w:eastAsia="zh-CN"/>
          <w14:textFill>
            <w14:solidFill>
              <w14:schemeClr w14:val="tx1"/>
            </w14:solidFill>
          </w14:textFill>
        </w:rPr>
        <w:t>本基金实施侧袋机制的，应根据本部分的约定对主袋账户资产进行估值并披露主袋账户的基金净值信息，暂停披露侧袋账户份额净值。</w:t>
      </w:r>
    </w:p>
    <w:p w14:paraId="383BEF02">
      <w:pPr>
        <w:adjustRightInd w:val="0"/>
        <w:snapToGrid w:val="0"/>
        <w:spacing w:line="360" w:lineRule="auto"/>
        <w:ind w:firstLine="480" w:firstLineChars="200"/>
        <w:rPr>
          <w:bCs/>
          <w:sz w:val="24"/>
          <w:lang w:eastAsia="zh-CN"/>
        </w:rPr>
      </w:pPr>
      <w:r>
        <w:rPr>
          <w:rFonts w:hint="eastAsia"/>
          <w:bCs/>
          <w:sz w:val="24"/>
          <w:lang w:eastAsia="zh-CN"/>
        </w:rPr>
        <w:t>七、基金合同的变更、终止与基金财产的清算</w:t>
      </w:r>
    </w:p>
    <w:p w14:paraId="5BEDF97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（一）《基金合同》的变更</w:t>
      </w:r>
    </w:p>
    <w:p w14:paraId="1534D2F3">
      <w:pPr>
        <w:adjustRightInd w:val="0"/>
        <w:spacing w:line="360" w:lineRule="auto"/>
        <w:ind w:firstLine="720" w:firstLineChars="3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70F74001">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、关于《基金合同》变更的基金份额持有人大会决议自生效后方可执行，自决议生效后两日内在规定媒介公告。</w:t>
      </w:r>
    </w:p>
    <w:p w14:paraId="62203C2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（二）《基金合同》的终止事由</w:t>
      </w:r>
    </w:p>
    <w:p w14:paraId="2B48B35D">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有下列情形之一的，经履行相关程序后，《基金合同》应当终止：</w:t>
      </w:r>
    </w:p>
    <w:p w14:paraId="2A9E9D6C">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、基金份额持有人大会决定终止的；</w:t>
      </w:r>
    </w:p>
    <w:p w14:paraId="2D6A8E5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、基金管理人、基金托管人职责终止，在</w:t>
      </w:r>
      <w:r>
        <w:rPr>
          <w:bCs/>
          <w:color w:val="000000" w:themeColor="text1"/>
          <w:sz w:val="24"/>
          <w:lang w:eastAsia="zh-CN"/>
          <w14:textFill>
            <w14:solidFill>
              <w14:schemeClr w14:val="tx1"/>
            </w14:solidFill>
          </w14:textFill>
        </w:rPr>
        <w:t>6</w:t>
      </w:r>
      <w:r>
        <w:rPr>
          <w:rFonts w:hint="eastAsia"/>
          <w:bCs/>
          <w:color w:val="000000" w:themeColor="text1"/>
          <w:sz w:val="24"/>
          <w:lang w:eastAsia="zh-CN"/>
          <w14:textFill>
            <w14:solidFill>
              <w14:schemeClr w14:val="tx1"/>
            </w14:solidFill>
          </w14:textFill>
        </w:rPr>
        <w:t>个月内没有新基金管理人、新基金托管人承接的；</w:t>
      </w:r>
    </w:p>
    <w:p w14:paraId="737B226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、《基金合同》约定的其他情形；</w:t>
      </w:r>
    </w:p>
    <w:p w14:paraId="44926F7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、相关法律法规和中国证监会规定的其他情况。</w:t>
      </w:r>
    </w:p>
    <w:p w14:paraId="30996D82">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（三）基金财产的清算</w:t>
      </w:r>
    </w:p>
    <w:p w14:paraId="3F883ED8">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、基金财产清算小组：自出现《基金合同》终止事由之日起</w:t>
      </w:r>
      <w:r>
        <w:rPr>
          <w:bCs/>
          <w:color w:val="000000" w:themeColor="text1"/>
          <w:sz w:val="24"/>
          <w:lang w:eastAsia="zh-CN"/>
          <w14:textFill>
            <w14:solidFill>
              <w14:schemeClr w14:val="tx1"/>
            </w14:solidFill>
          </w14:textFill>
        </w:rPr>
        <w:t>30</w:t>
      </w:r>
      <w:r>
        <w:rPr>
          <w:rFonts w:hint="eastAsia"/>
          <w:bCs/>
          <w:color w:val="000000" w:themeColor="text1"/>
          <w:sz w:val="24"/>
          <w:lang w:eastAsia="zh-CN"/>
          <w14:textFill>
            <w14:solidFill>
              <w14:schemeClr w14:val="tx1"/>
            </w14:solidFill>
          </w14:textFill>
        </w:rPr>
        <w:t>个工作日内成立清算小组，基金管理人组织基金财产清算小组并在中国证监会的监督下进行基金清算。</w:t>
      </w:r>
    </w:p>
    <w:p w14:paraId="41EC83D0">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、基金财产清算小组组成：基金财产清算小组成员由基金管理人、基金托管人、具有从事证券相关业务资格的注册会计师、律师以及中国证监会指定的人员组成。基金财产清算小组可以聘用必要的工作人员。</w:t>
      </w:r>
    </w:p>
    <w:p w14:paraId="1C1C4D83">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、基金财产清算小组职责：基金财产清算小组负责基金财产的保管、清理、估价、变现和分配。基金财产清算小组可以依法进行必要的民事活动。</w:t>
      </w:r>
    </w:p>
    <w:p w14:paraId="41DED1EB">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、基金财产清算程序：</w:t>
      </w:r>
    </w:p>
    <w:p w14:paraId="16A0F593">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1</w:t>
      </w:r>
      <w:r>
        <w:rPr>
          <w:rFonts w:hint="eastAsia"/>
          <w:bCs/>
          <w:color w:val="000000" w:themeColor="text1"/>
          <w:sz w:val="24"/>
          <w:lang w:eastAsia="zh-CN"/>
          <w14:textFill>
            <w14:solidFill>
              <w14:schemeClr w14:val="tx1"/>
            </w14:solidFill>
          </w14:textFill>
        </w:rPr>
        <w:t>）《基金合同》终止情形出现时，由基金财产清算小组统一接管基金；</w:t>
      </w:r>
    </w:p>
    <w:p w14:paraId="2FC65F6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2</w:t>
      </w:r>
      <w:r>
        <w:rPr>
          <w:rFonts w:hint="eastAsia"/>
          <w:bCs/>
          <w:color w:val="000000" w:themeColor="text1"/>
          <w:sz w:val="24"/>
          <w:lang w:eastAsia="zh-CN"/>
          <w14:textFill>
            <w14:solidFill>
              <w14:schemeClr w14:val="tx1"/>
            </w14:solidFill>
          </w14:textFill>
        </w:rPr>
        <w:t>）对基金财产和债权债务进行清理和确认；</w:t>
      </w:r>
    </w:p>
    <w:p w14:paraId="7FDE2E7C">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3</w:t>
      </w:r>
      <w:r>
        <w:rPr>
          <w:rFonts w:hint="eastAsia"/>
          <w:bCs/>
          <w:color w:val="000000" w:themeColor="text1"/>
          <w:sz w:val="24"/>
          <w:lang w:eastAsia="zh-CN"/>
          <w14:textFill>
            <w14:solidFill>
              <w14:schemeClr w14:val="tx1"/>
            </w14:solidFill>
          </w14:textFill>
        </w:rPr>
        <w:t>）对基金财产进行估值和变现；</w:t>
      </w:r>
    </w:p>
    <w:p w14:paraId="4FE96FF6">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4</w:t>
      </w:r>
      <w:r>
        <w:rPr>
          <w:rFonts w:hint="eastAsia"/>
          <w:bCs/>
          <w:color w:val="000000" w:themeColor="text1"/>
          <w:sz w:val="24"/>
          <w:lang w:eastAsia="zh-CN"/>
          <w14:textFill>
            <w14:solidFill>
              <w14:schemeClr w14:val="tx1"/>
            </w14:solidFill>
          </w14:textFill>
        </w:rPr>
        <w:t>）制作清算报告；</w:t>
      </w:r>
    </w:p>
    <w:p w14:paraId="2717DF4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）聘请会计师事务所对清算报告进行外部审计，聘请律师事务所对清算报告出具法律意见书；</w:t>
      </w:r>
    </w:p>
    <w:p w14:paraId="12300A7E">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6</w:t>
      </w:r>
      <w:r>
        <w:rPr>
          <w:rFonts w:hint="eastAsia"/>
          <w:bCs/>
          <w:color w:val="000000" w:themeColor="text1"/>
          <w:sz w:val="24"/>
          <w:lang w:eastAsia="zh-CN"/>
          <w14:textFill>
            <w14:solidFill>
              <w14:schemeClr w14:val="tx1"/>
            </w14:solidFill>
          </w14:textFill>
        </w:rPr>
        <w:t>）将清算报告报中国证监会备案并公告；</w:t>
      </w:r>
    </w:p>
    <w:p w14:paraId="2BCECF14">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w:t>
      </w:r>
      <w:r>
        <w:rPr>
          <w:bCs/>
          <w:color w:val="000000" w:themeColor="text1"/>
          <w:sz w:val="24"/>
          <w:lang w:eastAsia="zh-CN"/>
          <w14:textFill>
            <w14:solidFill>
              <w14:schemeClr w14:val="tx1"/>
            </w14:solidFill>
          </w14:textFill>
        </w:rPr>
        <w:t>7</w:t>
      </w:r>
      <w:r>
        <w:rPr>
          <w:rFonts w:hint="eastAsia"/>
          <w:bCs/>
          <w:color w:val="000000" w:themeColor="text1"/>
          <w:sz w:val="24"/>
          <w:lang w:eastAsia="zh-CN"/>
          <w14:textFill>
            <w14:solidFill>
              <w14:schemeClr w14:val="tx1"/>
            </w14:solidFill>
          </w14:textFill>
        </w:rPr>
        <w:t>）对基金剩余财产进行分配。</w:t>
      </w:r>
    </w:p>
    <w:p w14:paraId="25F7F83D">
      <w:pPr>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、基金财产清算的期限为</w:t>
      </w:r>
      <w:r>
        <w:rPr>
          <w:bCs/>
          <w:color w:val="000000" w:themeColor="text1"/>
          <w:sz w:val="24"/>
          <w:lang w:eastAsia="zh-CN"/>
          <w14:textFill>
            <w14:solidFill>
              <w14:schemeClr w14:val="tx1"/>
            </w14:solidFill>
          </w14:textFill>
        </w:rPr>
        <w:t>6</w:t>
      </w:r>
      <w:r>
        <w:rPr>
          <w:rFonts w:hint="eastAsia"/>
          <w:bCs/>
          <w:color w:val="000000" w:themeColor="text1"/>
          <w:sz w:val="24"/>
          <w:lang w:eastAsia="zh-CN"/>
          <w14:textFill>
            <w14:solidFill>
              <w14:schemeClr w14:val="tx1"/>
            </w14:solidFill>
          </w14:textFill>
        </w:rPr>
        <w:t>个月，但因本基金所持证券的流动性受到限制而不能及时变现的，清算期限相应顺延。</w:t>
      </w:r>
    </w:p>
    <w:p w14:paraId="4362CF18">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（四）清算费用</w:t>
      </w:r>
    </w:p>
    <w:p w14:paraId="026562FA">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清算费用是指基金财产清算小组在进行基金清算过程中发生的所有合理费用，清算费用由基金财产清算小组优先从基金财产中支付。</w:t>
      </w:r>
    </w:p>
    <w:p w14:paraId="67621F90">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（五）基金财产清算剩余资产的分配</w:t>
      </w:r>
    </w:p>
    <w:p w14:paraId="73E24309">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依据基金财产清算的分配方案，将基金财产清算后的全部剩余资产扣除基金财产清算费用、交纳所欠税款并清偿基金债务后，按基金份额持有人持有的基金份额比例进行分配。</w:t>
      </w:r>
    </w:p>
    <w:p w14:paraId="05377799">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（六）基金财产清算的公告</w:t>
      </w:r>
    </w:p>
    <w:p w14:paraId="18929ACA">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bCs/>
          <w:color w:val="000000" w:themeColor="text1"/>
          <w:sz w:val="24"/>
          <w:lang w:eastAsia="zh-CN"/>
          <w14:textFill>
            <w14:solidFill>
              <w14:schemeClr w14:val="tx1"/>
            </w14:solidFill>
          </w14:textFill>
        </w:rPr>
        <w:t>5</w:t>
      </w:r>
      <w:r>
        <w:rPr>
          <w:rFonts w:hint="eastAsia"/>
          <w:bCs/>
          <w:color w:val="000000" w:themeColor="text1"/>
          <w:sz w:val="24"/>
          <w:lang w:eastAsia="zh-CN"/>
          <w14:textFill>
            <w14:solidFill>
              <w14:schemeClr w14:val="tx1"/>
            </w14:solidFill>
          </w14:textFill>
        </w:rPr>
        <w:t>个工作日内由基金财产清算小组进行公告，基金财产清算小组应当将清算报告登载在规定网站上，并将清算报告提示性公告登载在规定报刊上。</w:t>
      </w:r>
    </w:p>
    <w:p w14:paraId="7206E6DD">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（七）基金财产清算账册及文件的保存</w:t>
      </w:r>
    </w:p>
    <w:p w14:paraId="7B7EC2AE">
      <w:pPr>
        <w:adjustRightInd w:val="0"/>
        <w:snapToGrid w:val="0"/>
        <w:spacing w:line="360" w:lineRule="auto"/>
        <w:ind w:firstLine="480" w:firstLineChars="200"/>
        <w:rPr>
          <w:bCs/>
          <w:sz w:val="24"/>
          <w:lang w:eastAsia="zh-CN"/>
        </w:rPr>
      </w:pPr>
      <w:r>
        <w:rPr>
          <w:rFonts w:hint="eastAsia"/>
          <w:bCs/>
          <w:color w:val="000000" w:themeColor="text1"/>
          <w:sz w:val="24"/>
          <w:lang w:eastAsia="zh-CN"/>
          <w14:textFill>
            <w14:solidFill>
              <w14:schemeClr w14:val="tx1"/>
            </w14:solidFill>
          </w14:textFill>
        </w:rPr>
        <w:t>基金财产清算账册及有关文件由基金托管人保存不低于法律法规规定的最低期限。</w:t>
      </w:r>
    </w:p>
    <w:p w14:paraId="52C97865">
      <w:pPr>
        <w:adjustRightInd w:val="0"/>
        <w:snapToGrid w:val="0"/>
        <w:spacing w:line="360" w:lineRule="auto"/>
        <w:ind w:firstLine="480" w:firstLineChars="200"/>
        <w:rPr>
          <w:sz w:val="24"/>
          <w:lang w:eastAsia="zh-CN"/>
        </w:rPr>
      </w:pPr>
      <w:r>
        <w:rPr>
          <w:rFonts w:hint="eastAsia"/>
          <w:sz w:val="24"/>
          <w:lang w:eastAsia="zh-CN"/>
        </w:rPr>
        <w:t>八、争议的处理和适用的法律</w:t>
      </w:r>
    </w:p>
    <w:p w14:paraId="0E373CC1">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各方当事人同意，因《基金合同》而产生的或与《基金合同》有关的一切争议，如经友好协商未能解决的，应提交上海国际经济贸易仲裁委员会根据该会当时有效的仲裁规则进行仲裁，仲裁地点为上海市。仲裁裁决是终局性的并对各方当事人具有约束力。仲裁费用由败诉方承担，仲裁裁决另有规定除外。</w:t>
      </w:r>
    </w:p>
    <w:p w14:paraId="0642C88B">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争议处理期间，基金管理人、基金托管人应恪守各自的职责，继续忠实、勤勉、尽责地履行《基金合同》规定的义务，维护基金份额持有人的合法权益。</w:t>
      </w:r>
    </w:p>
    <w:p w14:paraId="6D04F629">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《基金合同》受中国法律（为《基金合同》之目的，在此不包括香港、澳门特别行政区和台湾地区的有关规定）管辖，并从其解释。</w:t>
      </w:r>
    </w:p>
    <w:p w14:paraId="1E040C49">
      <w:pPr>
        <w:adjustRightInd w:val="0"/>
        <w:spacing w:line="360" w:lineRule="auto"/>
        <w:ind w:firstLine="480" w:firstLineChars="200"/>
        <w:rPr>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九、基金合同存放地和投资者取得基金合同的方式</w:t>
      </w:r>
    </w:p>
    <w:p w14:paraId="19980629">
      <w:pPr>
        <w:adjustRightInd w:val="0"/>
        <w:snapToGrid w:val="0"/>
        <w:spacing w:line="360" w:lineRule="auto"/>
        <w:ind w:firstLine="480" w:firstLineChars="200"/>
        <w:rPr>
          <w:bCs/>
          <w:sz w:val="24"/>
          <w:lang w:eastAsia="zh-CN"/>
        </w:rPr>
      </w:pPr>
      <w:r>
        <w:rPr>
          <w:rFonts w:hint="eastAsia"/>
          <w:bCs/>
          <w:color w:val="000000" w:themeColor="text1"/>
          <w:sz w:val="24"/>
          <w:lang w:eastAsia="zh-CN"/>
          <w14:textFill>
            <w14:solidFill>
              <w14:schemeClr w14:val="tx1"/>
            </w14:solidFill>
          </w14:textFill>
        </w:rPr>
        <w:t>《基金合同》可印制成册，供投资者在基金管理人、基金托管人、销售机构的办公场所和营业场所查阅。</w:t>
      </w:r>
    </w:p>
    <w:p w14:paraId="6EA79AB4">
      <w:pPr>
        <w:rPr>
          <w:bCs/>
          <w:sz w:val="24"/>
          <w:szCs w:val="30"/>
          <w:lang w:eastAsia="zh-CN"/>
        </w:rPr>
      </w:pPr>
      <w:r>
        <w:rPr>
          <w:bCs/>
          <w:sz w:val="24"/>
          <w:lang w:val="zh-CN" w:eastAsia="zh-CN"/>
        </w:rPr>
        <w:br w:type="page"/>
      </w:r>
    </w:p>
    <w:p w14:paraId="3DFD65D4">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108" w:name="_Toc69831260"/>
      <w:r>
        <w:rPr>
          <w:rFonts w:ascii="Times New Roman" w:hAnsi="Times New Roman" w:cs="Times New Roman"/>
          <w:b/>
          <w:szCs w:val="20"/>
          <w:lang w:eastAsia="zh-CN" w:bidi="ar-SA"/>
        </w:rPr>
        <w:t>第</w:t>
      </w:r>
      <w:r>
        <w:rPr>
          <w:rFonts w:hint="eastAsia" w:ascii="Times New Roman" w:hAnsi="Times New Roman" w:cs="Times New Roman"/>
          <w:b/>
          <w:szCs w:val="20"/>
          <w:lang w:eastAsia="zh-CN" w:bidi="ar-SA"/>
        </w:rPr>
        <w:t>二十二</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托管协议的内容摘要</w:t>
      </w:r>
      <w:bookmarkEnd w:id="108"/>
    </w:p>
    <w:p w14:paraId="6669F154">
      <w:pPr>
        <w:adjustRightInd w:val="0"/>
        <w:snapToGrid w:val="0"/>
        <w:spacing w:line="360" w:lineRule="auto"/>
        <w:ind w:firstLine="480" w:firstLineChars="200"/>
        <w:rPr>
          <w:sz w:val="24"/>
          <w:lang w:eastAsia="zh-CN"/>
        </w:rPr>
      </w:pPr>
      <w:bookmarkStart w:id="109" w:name="_Toc417740615"/>
      <w:r>
        <w:rPr>
          <w:sz w:val="24"/>
          <w:lang w:eastAsia="zh-CN"/>
        </w:rPr>
        <w:t>一、基金托管协议当事人</w:t>
      </w:r>
      <w:bookmarkEnd w:id="109"/>
    </w:p>
    <w:p w14:paraId="617FB3BA">
      <w:pPr>
        <w:adjustRightInd w:val="0"/>
        <w:snapToGrid w:val="0"/>
        <w:spacing w:line="360" w:lineRule="auto"/>
        <w:ind w:firstLine="480" w:firstLineChars="200"/>
        <w:rPr>
          <w:sz w:val="24"/>
          <w:lang w:eastAsia="zh-CN"/>
        </w:rPr>
      </w:pPr>
      <w:bookmarkStart w:id="110" w:name="_Hlt88900318"/>
      <w:bookmarkEnd w:id="110"/>
      <w:bookmarkStart w:id="111" w:name="_Hlt88903033"/>
      <w:bookmarkEnd w:id="111"/>
      <w:bookmarkStart w:id="112" w:name="_Hlt88902859"/>
      <w:bookmarkEnd w:id="112"/>
      <w:bookmarkStart w:id="113" w:name="_Hlt112616834"/>
      <w:bookmarkEnd w:id="113"/>
      <w:bookmarkStart w:id="114" w:name="_Hlt88821719"/>
      <w:bookmarkEnd w:id="114"/>
      <w:bookmarkStart w:id="115" w:name="_Hlt89687912"/>
      <w:bookmarkEnd w:id="115"/>
      <w:r>
        <w:rPr>
          <w:sz w:val="24"/>
          <w:lang w:eastAsia="zh-CN"/>
        </w:rPr>
        <w:t>（一）基金管理人</w:t>
      </w:r>
    </w:p>
    <w:p w14:paraId="33568F05">
      <w:pPr>
        <w:adjustRightInd w:val="0"/>
        <w:snapToGrid w:val="0"/>
        <w:spacing w:line="360" w:lineRule="auto"/>
        <w:ind w:firstLine="480" w:firstLineChars="200"/>
        <w:rPr>
          <w:color w:val="000000"/>
          <w:sz w:val="24"/>
          <w:lang w:eastAsia="zh-CN"/>
        </w:rPr>
      </w:pPr>
      <w:r>
        <w:rPr>
          <w:color w:val="000000"/>
          <w:sz w:val="24"/>
          <w:lang w:eastAsia="zh-CN"/>
        </w:rPr>
        <w:t>名称：</w:t>
      </w:r>
      <w:r>
        <w:rPr>
          <w:rFonts w:hint="eastAsia"/>
          <w:color w:val="000000"/>
          <w:sz w:val="24"/>
          <w:lang w:eastAsia="zh-CN"/>
        </w:rPr>
        <w:t>国新国证基金</w:t>
      </w:r>
      <w:r>
        <w:rPr>
          <w:color w:val="000000"/>
          <w:sz w:val="24"/>
          <w:lang w:eastAsia="zh-CN"/>
        </w:rPr>
        <w:t>管理有限公司</w:t>
      </w:r>
    </w:p>
    <w:p w14:paraId="6A4AA492">
      <w:pPr>
        <w:adjustRightInd w:val="0"/>
        <w:snapToGrid w:val="0"/>
        <w:spacing w:line="360" w:lineRule="auto"/>
        <w:ind w:firstLine="480" w:firstLineChars="200"/>
        <w:rPr>
          <w:bCs/>
          <w:color w:val="000000"/>
          <w:sz w:val="24"/>
          <w:lang w:eastAsia="zh-CN"/>
        </w:rPr>
      </w:pPr>
      <w:r>
        <w:rPr>
          <w:rFonts w:hint="eastAsia"/>
          <w:color w:val="000000"/>
          <w:sz w:val="24"/>
          <w:lang w:eastAsia="zh-CN"/>
        </w:rPr>
        <w:t>住所</w:t>
      </w:r>
      <w:r>
        <w:rPr>
          <w:color w:val="000000"/>
          <w:sz w:val="24"/>
          <w:lang w:eastAsia="zh-CN"/>
        </w:rPr>
        <w:t>：</w:t>
      </w:r>
      <w:r>
        <w:rPr>
          <w:rFonts w:hint="eastAsia" w:asciiTheme="minorEastAsia" w:hAnsiTheme="minorEastAsia" w:eastAsiaTheme="minorEastAsia" w:cstheme="minorEastAsia"/>
          <w:bCs/>
          <w:sz w:val="24"/>
          <w:lang w:eastAsia="zh-CN"/>
        </w:rPr>
        <w:t>中国（河北）自由贸易试验区雄安片区容城县雄安市民服务中心企业办公区C栋106室-00094</w:t>
      </w:r>
    </w:p>
    <w:p w14:paraId="653C1361">
      <w:pPr>
        <w:adjustRightInd w:val="0"/>
        <w:snapToGrid w:val="0"/>
        <w:spacing w:line="360" w:lineRule="auto"/>
        <w:ind w:firstLine="480" w:firstLineChars="200"/>
        <w:rPr>
          <w:color w:val="000000"/>
          <w:sz w:val="24"/>
          <w:lang w:eastAsia="zh-CN"/>
        </w:rPr>
      </w:pPr>
      <w:r>
        <w:rPr>
          <w:color w:val="000000"/>
          <w:sz w:val="24"/>
          <w:lang w:eastAsia="zh-CN"/>
        </w:rPr>
        <w:t>法定代表人</w:t>
      </w:r>
      <w:r>
        <w:rPr>
          <w:rFonts w:hint="eastAsia"/>
          <w:color w:val="000000"/>
          <w:sz w:val="24"/>
          <w:lang w:eastAsia="zh-CN"/>
        </w:rPr>
        <w:t>：</w:t>
      </w:r>
      <w:r>
        <w:rPr>
          <w:rFonts w:hint="eastAsia"/>
          <w:bCs/>
          <w:color w:val="000000"/>
          <w:sz w:val="24"/>
          <w:lang w:val="en-US" w:eastAsia="zh-CN"/>
        </w:rPr>
        <w:t>张涵宇</w:t>
      </w:r>
    </w:p>
    <w:p w14:paraId="74CDFEAA">
      <w:pPr>
        <w:adjustRightInd w:val="0"/>
        <w:snapToGrid w:val="0"/>
        <w:spacing w:line="360" w:lineRule="auto"/>
        <w:ind w:firstLine="480" w:firstLineChars="200"/>
        <w:rPr>
          <w:color w:val="000000"/>
          <w:sz w:val="24"/>
          <w:lang w:eastAsia="zh-CN"/>
        </w:rPr>
      </w:pPr>
      <w:r>
        <w:rPr>
          <w:rFonts w:hint="eastAsia"/>
          <w:color w:val="000000"/>
          <w:sz w:val="24"/>
          <w:lang w:eastAsia="zh-CN"/>
        </w:rPr>
        <w:t>设立</w:t>
      </w:r>
      <w:r>
        <w:rPr>
          <w:color w:val="000000"/>
          <w:sz w:val="24"/>
          <w:lang w:eastAsia="zh-CN"/>
        </w:rPr>
        <w:t>日期：</w:t>
      </w:r>
      <w:r>
        <w:rPr>
          <w:bCs/>
          <w:color w:val="000000"/>
          <w:sz w:val="24"/>
          <w:lang w:eastAsia="zh-CN"/>
        </w:rPr>
        <w:t>2019年3月1日</w:t>
      </w:r>
    </w:p>
    <w:p w14:paraId="205234EF">
      <w:pPr>
        <w:adjustRightInd w:val="0"/>
        <w:snapToGrid w:val="0"/>
        <w:spacing w:line="360" w:lineRule="auto"/>
        <w:ind w:firstLine="480" w:firstLineChars="200"/>
        <w:rPr>
          <w:color w:val="000000"/>
          <w:sz w:val="24"/>
          <w:lang w:eastAsia="zh-CN"/>
        </w:rPr>
      </w:pPr>
      <w:r>
        <w:rPr>
          <w:color w:val="000000"/>
          <w:sz w:val="24"/>
          <w:lang w:eastAsia="zh-CN"/>
        </w:rPr>
        <w:t>批准设立机关及批准设立文号：</w:t>
      </w:r>
      <w:r>
        <w:rPr>
          <w:bCs/>
          <w:color w:val="000000"/>
          <w:sz w:val="24"/>
          <w:lang w:eastAsia="zh-CN"/>
        </w:rPr>
        <w:t>中国证监会证监许可[2018]2163号</w:t>
      </w:r>
    </w:p>
    <w:p w14:paraId="2B1EBAE4">
      <w:pPr>
        <w:adjustRightInd w:val="0"/>
        <w:snapToGrid w:val="0"/>
        <w:spacing w:line="360" w:lineRule="auto"/>
        <w:ind w:firstLine="480" w:firstLineChars="200"/>
        <w:rPr>
          <w:color w:val="000000"/>
          <w:sz w:val="24"/>
          <w:lang w:eastAsia="zh-CN"/>
        </w:rPr>
      </w:pPr>
      <w:r>
        <w:rPr>
          <w:color w:val="000000"/>
          <w:sz w:val="24"/>
          <w:lang w:eastAsia="zh-CN"/>
        </w:rPr>
        <w:t>组织形式：</w:t>
      </w:r>
      <w:r>
        <w:rPr>
          <w:bCs/>
          <w:color w:val="000000"/>
          <w:sz w:val="24"/>
          <w:lang w:eastAsia="zh-CN"/>
        </w:rPr>
        <w:t>有限责任公司</w:t>
      </w:r>
    </w:p>
    <w:p w14:paraId="63C04AC0">
      <w:pPr>
        <w:adjustRightInd w:val="0"/>
        <w:snapToGrid w:val="0"/>
        <w:spacing w:line="360" w:lineRule="auto"/>
        <w:ind w:firstLine="480" w:firstLineChars="200"/>
        <w:rPr>
          <w:color w:val="000000"/>
          <w:sz w:val="24"/>
          <w:lang w:eastAsia="zh-CN"/>
        </w:rPr>
      </w:pPr>
      <w:r>
        <w:rPr>
          <w:color w:val="000000"/>
          <w:sz w:val="24"/>
          <w:lang w:eastAsia="zh-CN"/>
        </w:rPr>
        <w:t>注册资本：</w:t>
      </w:r>
      <w:r>
        <w:rPr>
          <w:bCs/>
          <w:color w:val="000000"/>
          <w:sz w:val="24"/>
          <w:lang w:eastAsia="zh-CN"/>
        </w:rPr>
        <w:t>人民币</w:t>
      </w:r>
      <w:r>
        <w:rPr>
          <w:rFonts w:hint="eastAsia"/>
          <w:bCs/>
          <w:color w:val="000000"/>
          <w:sz w:val="24"/>
          <w:lang w:val="en-US" w:eastAsia="zh-CN"/>
        </w:rPr>
        <w:t>41</w:t>
      </w:r>
      <w:r>
        <w:rPr>
          <w:bCs/>
          <w:color w:val="000000"/>
          <w:sz w:val="24"/>
          <w:lang w:eastAsia="zh-CN"/>
        </w:rPr>
        <w:t>0,000,000元</w:t>
      </w:r>
    </w:p>
    <w:p w14:paraId="45654FBD">
      <w:pPr>
        <w:adjustRightInd w:val="0"/>
        <w:snapToGrid w:val="0"/>
        <w:spacing w:line="360" w:lineRule="auto"/>
        <w:ind w:firstLine="480" w:firstLineChars="200"/>
        <w:rPr>
          <w:bCs/>
          <w:color w:val="000000"/>
          <w:sz w:val="24"/>
          <w:lang w:eastAsia="zh-CN"/>
        </w:rPr>
      </w:pPr>
      <w:r>
        <w:rPr>
          <w:color w:val="000000"/>
          <w:sz w:val="24"/>
          <w:lang w:eastAsia="zh-CN"/>
        </w:rPr>
        <w:t>存续</w:t>
      </w:r>
      <w:r>
        <w:rPr>
          <w:rFonts w:hint="eastAsia"/>
          <w:color w:val="000000"/>
          <w:sz w:val="24"/>
          <w:lang w:eastAsia="zh-CN"/>
        </w:rPr>
        <w:t>期限</w:t>
      </w:r>
      <w:r>
        <w:rPr>
          <w:color w:val="000000"/>
          <w:sz w:val="24"/>
          <w:lang w:eastAsia="zh-CN"/>
        </w:rPr>
        <w:t>：</w:t>
      </w:r>
      <w:r>
        <w:rPr>
          <w:bCs/>
          <w:color w:val="000000"/>
          <w:sz w:val="24"/>
          <w:lang w:eastAsia="zh-CN"/>
        </w:rPr>
        <w:t>永续经营</w:t>
      </w:r>
    </w:p>
    <w:p w14:paraId="57C17937">
      <w:pPr>
        <w:adjustRightInd w:val="0"/>
        <w:snapToGrid w:val="0"/>
        <w:spacing w:line="360" w:lineRule="auto"/>
        <w:ind w:firstLine="480" w:firstLineChars="200"/>
        <w:rPr>
          <w:color w:val="000000"/>
          <w:sz w:val="24"/>
          <w:lang w:eastAsia="zh-CN"/>
        </w:rPr>
      </w:pPr>
      <w:r>
        <w:rPr>
          <w:rFonts w:hint="eastAsia"/>
          <w:color w:val="000000"/>
          <w:sz w:val="24"/>
          <w:lang w:eastAsia="zh-CN"/>
        </w:rPr>
        <w:t>联系电话：</w:t>
      </w:r>
      <w:r>
        <w:rPr>
          <w:color w:val="000000"/>
          <w:sz w:val="24"/>
          <w:lang w:eastAsia="zh-CN"/>
        </w:rPr>
        <w:t>400-819-0789</w:t>
      </w:r>
    </w:p>
    <w:p w14:paraId="63ED6579">
      <w:pPr>
        <w:adjustRightInd w:val="0"/>
        <w:snapToGrid w:val="0"/>
        <w:spacing w:line="360" w:lineRule="auto"/>
        <w:ind w:firstLine="480" w:firstLineChars="200"/>
        <w:rPr>
          <w:sz w:val="24"/>
          <w:lang w:eastAsia="zh-CN"/>
        </w:rPr>
      </w:pPr>
      <w:r>
        <w:rPr>
          <w:sz w:val="24"/>
          <w:lang w:eastAsia="zh-CN"/>
        </w:rPr>
        <w:t>（二）基金托管人</w:t>
      </w:r>
    </w:p>
    <w:p w14:paraId="15D5277A">
      <w:pPr>
        <w:adjustRightInd w:val="0"/>
        <w:snapToGrid w:val="0"/>
        <w:spacing w:line="360" w:lineRule="auto"/>
        <w:ind w:firstLine="480" w:firstLineChars="200"/>
        <w:rPr>
          <w:sz w:val="24"/>
          <w:lang w:eastAsia="zh-CN"/>
        </w:rPr>
      </w:pPr>
      <w:r>
        <w:rPr>
          <w:rFonts w:hint="eastAsia"/>
          <w:sz w:val="24"/>
          <w:lang w:eastAsia="zh-CN"/>
        </w:rPr>
        <w:t>名称：</w:t>
      </w:r>
      <w:r>
        <w:rPr>
          <w:rFonts w:hint="eastAsia"/>
          <w:color w:val="000000" w:themeColor="text1"/>
          <w:sz w:val="24"/>
          <w:szCs w:val="24"/>
          <w:lang w:eastAsia="zh-CN"/>
          <w14:textFill>
            <w14:solidFill>
              <w14:schemeClr w14:val="tx1"/>
            </w14:solidFill>
          </w14:textFill>
        </w:rPr>
        <w:t>上海浦东发展银行股份有限公司</w:t>
      </w:r>
    </w:p>
    <w:p w14:paraId="5FF7AEC8">
      <w:pPr>
        <w:adjustRightInd w:val="0"/>
        <w:snapToGrid w:val="0"/>
        <w:spacing w:line="360" w:lineRule="auto"/>
        <w:ind w:firstLine="480" w:firstLineChars="200"/>
        <w:rPr>
          <w:sz w:val="24"/>
          <w:lang w:eastAsia="zh-CN"/>
        </w:rPr>
      </w:pPr>
      <w:r>
        <w:rPr>
          <w:rFonts w:hint="eastAsia"/>
          <w:sz w:val="24"/>
          <w:lang w:eastAsia="zh-CN"/>
        </w:rPr>
        <w:t>办公地址：</w:t>
      </w:r>
      <w:r>
        <w:rPr>
          <w:rFonts w:hint="eastAsia"/>
          <w:color w:val="000000" w:themeColor="text1"/>
          <w:sz w:val="24"/>
          <w:lang w:eastAsia="zh-CN"/>
          <w14:textFill>
            <w14:solidFill>
              <w14:schemeClr w14:val="tx1"/>
            </w14:solidFill>
          </w14:textFill>
        </w:rPr>
        <w:t>上海市中山东一路12号</w:t>
      </w:r>
    </w:p>
    <w:p w14:paraId="5956BB88">
      <w:pPr>
        <w:adjustRightInd w:val="0"/>
        <w:snapToGrid w:val="0"/>
        <w:spacing w:line="360" w:lineRule="auto"/>
        <w:ind w:firstLine="480" w:firstLineChars="200"/>
        <w:rPr>
          <w:sz w:val="24"/>
          <w:lang w:eastAsia="zh-CN"/>
        </w:rPr>
      </w:pPr>
      <w:r>
        <w:rPr>
          <w:rFonts w:hint="eastAsia"/>
          <w:sz w:val="24"/>
          <w:lang w:eastAsia="zh-CN"/>
        </w:rPr>
        <w:t>法定代表人：</w:t>
      </w:r>
      <w:r>
        <w:rPr>
          <w:rFonts w:hint="eastAsia"/>
          <w:color w:val="000000" w:themeColor="text1"/>
          <w:sz w:val="24"/>
          <w:lang w:eastAsia="zh-CN"/>
          <w14:textFill>
            <w14:solidFill>
              <w14:schemeClr w14:val="tx1"/>
            </w14:solidFill>
          </w14:textFill>
        </w:rPr>
        <w:t>郑杨</w:t>
      </w:r>
    </w:p>
    <w:p w14:paraId="51228811">
      <w:pPr>
        <w:adjustRightInd w:val="0"/>
        <w:snapToGrid w:val="0"/>
        <w:spacing w:line="360" w:lineRule="auto"/>
        <w:ind w:firstLine="480" w:firstLineChars="200"/>
        <w:rPr>
          <w:sz w:val="24"/>
          <w:lang w:eastAsia="zh-CN"/>
        </w:rPr>
      </w:pPr>
      <w:r>
        <w:rPr>
          <w:rFonts w:hint="eastAsia"/>
          <w:sz w:val="24"/>
          <w:lang w:eastAsia="zh-CN"/>
        </w:rPr>
        <w:t>成立日期：</w:t>
      </w:r>
      <w:r>
        <w:rPr>
          <w:rFonts w:hint="eastAsia"/>
          <w:color w:val="000000" w:themeColor="text1"/>
          <w:sz w:val="24"/>
          <w:lang w:eastAsia="zh-CN"/>
          <w14:textFill>
            <w14:solidFill>
              <w14:schemeClr w14:val="tx1"/>
            </w14:solidFill>
          </w14:textFill>
        </w:rPr>
        <w:t>1992年10月19日</w:t>
      </w:r>
    </w:p>
    <w:p w14:paraId="7C265C8C">
      <w:pPr>
        <w:adjustRightInd w:val="0"/>
        <w:snapToGrid w:val="0"/>
        <w:spacing w:line="360" w:lineRule="auto"/>
        <w:ind w:firstLine="480" w:firstLineChars="200"/>
        <w:rPr>
          <w:color w:val="000000" w:themeColor="text1"/>
          <w:sz w:val="24"/>
          <w:lang w:eastAsia="zh-CN"/>
          <w14:textFill>
            <w14:solidFill>
              <w14:schemeClr w14:val="tx1"/>
            </w14:solidFill>
          </w14:textFill>
        </w:rPr>
      </w:pPr>
      <w:r>
        <w:rPr>
          <w:rFonts w:hint="eastAsia"/>
          <w:sz w:val="24"/>
          <w:lang w:eastAsia="zh-CN"/>
        </w:rPr>
        <w:t>批准设立机关和批准设立文号：</w:t>
      </w:r>
      <w:r>
        <w:rPr>
          <w:rFonts w:hint="eastAsia"/>
          <w:color w:val="000000" w:themeColor="text1"/>
          <w:sz w:val="24"/>
          <w:lang w:eastAsia="zh-CN"/>
          <w14:textFill>
            <w14:solidFill>
              <w14:schemeClr w14:val="tx1"/>
            </w14:solidFill>
          </w14:textFill>
        </w:rPr>
        <w:t>中国人民银行，银复1992（601）号</w:t>
      </w:r>
    </w:p>
    <w:p w14:paraId="7CE429A5">
      <w:pPr>
        <w:adjustRightInd w:val="0"/>
        <w:snapToGrid w:val="0"/>
        <w:spacing w:line="360" w:lineRule="auto"/>
        <w:ind w:firstLine="480" w:firstLineChars="200"/>
        <w:rPr>
          <w:sz w:val="24"/>
          <w:lang w:eastAsia="zh-CN"/>
        </w:rPr>
      </w:pPr>
      <w:r>
        <w:rPr>
          <w:rFonts w:hint="eastAsia"/>
          <w:sz w:val="24"/>
          <w:lang w:eastAsia="zh-CN"/>
        </w:rPr>
        <w:t>基金托管业务资格批准机关：中国证监会</w:t>
      </w:r>
    </w:p>
    <w:p w14:paraId="1FA09619">
      <w:pPr>
        <w:adjustRightInd w:val="0"/>
        <w:snapToGrid w:val="0"/>
        <w:spacing w:line="360" w:lineRule="auto"/>
        <w:ind w:firstLine="480" w:firstLineChars="200"/>
        <w:rPr>
          <w:sz w:val="24"/>
          <w:lang w:eastAsia="zh-CN"/>
        </w:rPr>
      </w:pPr>
      <w:r>
        <w:rPr>
          <w:rFonts w:hint="eastAsia"/>
          <w:sz w:val="24"/>
          <w:lang w:eastAsia="zh-CN"/>
        </w:rPr>
        <w:t>基金托管业务资格文号：证监基金字</w:t>
      </w:r>
      <w:r>
        <w:rPr>
          <w:sz w:val="24"/>
          <w:lang w:eastAsia="zh-CN"/>
        </w:rPr>
        <w:t>[2003]105号</w:t>
      </w:r>
    </w:p>
    <w:p w14:paraId="74DFA184">
      <w:pPr>
        <w:adjustRightInd w:val="0"/>
        <w:snapToGrid w:val="0"/>
        <w:spacing w:line="360" w:lineRule="auto"/>
        <w:ind w:firstLine="480" w:firstLineChars="200"/>
        <w:rPr>
          <w:sz w:val="24"/>
          <w:lang w:eastAsia="zh-CN"/>
        </w:rPr>
      </w:pPr>
      <w:r>
        <w:rPr>
          <w:rFonts w:hint="eastAsia"/>
          <w:sz w:val="24"/>
          <w:lang w:eastAsia="zh-CN"/>
        </w:rPr>
        <w:t>组织形式：股份有限公司</w:t>
      </w:r>
      <w:r>
        <w:rPr>
          <w:rFonts w:hint="eastAsia"/>
          <w:color w:val="000000" w:themeColor="text1"/>
          <w:sz w:val="24"/>
          <w:lang w:eastAsia="zh-CN"/>
          <w14:textFill>
            <w14:solidFill>
              <w14:schemeClr w14:val="tx1"/>
            </w14:solidFill>
          </w14:textFill>
        </w:rPr>
        <w:t>（上市）</w:t>
      </w:r>
    </w:p>
    <w:p w14:paraId="1C8F5898">
      <w:pPr>
        <w:adjustRightInd w:val="0"/>
        <w:snapToGrid w:val="0"/>
        <w:spacing w:line="360" w:lineRule="auto"/>
        <w:ind w:firstLine="480" w:firstLineChars="200"/>
        <w:rPr>
          <w:sz w:val="24"/>
          <w:lang w:eastAsia="zh-CN"/>
        </w:rPr>
      </w:pPr>
      <w:r>
        <w:rPr>
          <w:rFonts w:hint="eastAsia"/>
          <w:sz w:val="24"/>
          <w:lang w:eastAsia="zh-CN"/>
        </w:rPr>
        <w:t>注册资本：</w:t>
      </w:r>
      <w:r>
        <w:rPr>
          <w:rFonts w:hint="eastAsia"/>
          <w:color w:val="000000" w:themeColor="text1"/>
          <w:sz w:val="24"/>
          <w:lang w:eastAsia="zh-CN"/>
          <w14:textFill>
            <w14:solidFill>
              <w14:schemeClr w14:val="tx1"/>
            </w14:solidFill>
          </w14:textFill>
        </w:rPr>
        <w:t>人民币293.52亿元</w:t>
      </w:r>
    </w:p>
    <w:p w14:paraId="297D3B25">
      <w:pPr>
        <w:adjustRightInd w:val="0"/>
        <w:snapToGrid w:val="0"/>
        <w:spacing w:line="360" w:lineRule="auto"/>
        <w:ind w:firstLine="480" w:firstLineChars="200"/>
        <w:rPr>
          <w:sz w:val="24"/>
          <w:lang w:eastAsia="zh-CN"/>
        </w:rPr>
      </w:pPr>
      <w:r>
        <w:rPr>
          <w:rFonts w:hint="eastAsia"/>
          <w:sz w:val="24"/>
          <w:lang w:eastAsia="zh-CN"/>
        </w:rPr>
        <w:t>经营期限：</w:t>
      </w:r>
      <w:r>
        <w:rPr>
          <w:rFonts w:hint="eastAsia"/>
          <w:color w:val="000000" w:themeColor="text1"/>
          <w:sz w:val="24"/>
          <w:lang w:eastAsia="zh-CN"/>
          <w14:textFill>
            <w14:solidFill>
              <w14:schemeClr w14:val="tx1"/>
            </w14:solidFill>
          </w14:textFill>
        </w:rPr>
        <w:t>永久存续</w:t>
      </w:r>
    </w:p>
    <w:p w14:paraId="203D0F87">
      <w:pPr>
        <w:adjustRightInd w:val="0"/>
        <w:snapToGrid w:val="0"/>
        <w:spacing w:line="360" w:lineRule="auto"/>
        <w:ind w:firstLine="480" w:firstLineChars="200"/>
        <w:rPr>
          <w:color w:val="000000"/>
          <w:sz w:val="24"/>
          <w:szCs w:val="24"/>
          <w:lang w:eastAsia="zh-CN"/>
        </w:rPr>
      </w:pPr>
      <w:bookmarkStart w:id="116" w:name="_Toc417740617"/>
      <w:r>
        <w:rPr>
          <w:color w:val="000000"/>
          <w:sz w:val="24"/>
          <w:szCs w:val="24"/>
          <w:lang w:eastAsia="zh-CN"/>
        </w:rPr>
        <w:t>二、基金托管人对基金管理人的业务监督和核查</w:t>
      </w:r>
      <w:bookmarkEnd w:id="116"/>
    </w:p>
    <w:p w14:paraId="32AB785F">
      <w:pPr>
        <w:pStyle w:val="3"/>
        <w:adjustRightInd w:val="0"/>
        <w:snapToGrid w:val="0"/>
        <w:spacing w:before="120" w:beforeLines="50" w:after="120" w:afterLines="50" w:line="360" w:lineRule="auto"/>
        <w:ind w:left="0" w:firstLine="480" w:firstLineChars="200"/>
        <w:jc w:val="both"/>
        <w:textAlignment w:val="baseline"/>
        <w:rPr>
          <w:rFonts w:ascii="宋体" w:hAnsi="宋体" w:eastAsia="宋体"/>
          <w:b w:val="0"/>
          <w:color w:val="000000" w:themeColor="text1"/>
          <w:sz w:val="24"/>
          <w:szCs w:val="24"/>
          <w:lang w:eastAsia="zh-CN"/>
          <w14:textFill>
            <w14:solidFill>
              <w14:schemeClr w14:val="tx1"/>
            </w14:solidFill>
          </w14:textFill>
        </w:rPr>
      </w:pPr>
      <w:bookmarkStart w:id="117" w:name="_Toc382819073"/>
      <w:r>
        <w:rPr>
          <w:rFonts w:hint="eastAsia" w:ascii="宋体" w:hAnsi="宋体" w:eastAsia="宋体"/>
          <w:b w:val="0"/>
          <w:color w:val="000000" w:themeColor="text1"/>
          <w:sz w:val="24"/>
          <w:szCs w:val="24"/>
          <w:lang w:eastAsia="zh-CN"/>
          <w14:textFill>
            <w14:solidFill>
              <w14:schemeClr w14:val="tx1"/>
            </w14:solidFill>
          </w14:textFill>
        </w:rPr>
        <w:t>（一）基金托管人对基金管理人的投资行为行使监督权</w:t>
      </w:r>
      <w:bookmarkEnd w:id="117"/>
    </w:p>
    <w:p w14:paraId="4726A221">
      <w:pPr>
        <w:widowControl/>
        <w:adjustRightInd w:val="0"/>
        <w:snapToGrid w:val="0"/>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1、基金托管人根据有关法律法规的规定和《基金合同》的约定，对下述基金投资范围、投资对象进行监督。</w:t>
      </w:r>
    </w:p>
    <w:p w14:paraId="1764F89F">
      <w:pPr>
        <w:adjustRightInd w:val="0"/>
        <w:snapToGrid w:val="0"/>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本基金的投资范围主要为具有良好流动性的金融工具，包括债券（国债、政策性金融债、地方政府债、金融债、央行票据等）、债券回购、同业存单、银行存款（包括协议存款、定期存款及其他银行存款）、现金以及法律法规或中国证监会允许基金投资的其他金融工具</w:t>
      </w:r>
      <w:r>
        <w:rPr>
          <w:bCs/>
          <w:color w:val="000000" w:themeColor="text1"/>
          <w:sz w:val="24"/>
          <w:lang w:eastAsia="zh-CN"/>
          <w14:textFill>
            <w14:solidFill>
              <w14:schemeClr w14:val="tx1"/>
            </w14:solidFill>
          </w14:textFill>
        </w:rPr>
        <w:t>(但须符合中国证监会相关规定)。</w:t>
      </w:r>
    </w:p>
    <w:p w14:paraId="38C824BD">
      <w:pPr>
        <w:adjustRightInd w:val="0"/>
        <w:snapToGrid w:val="0"/>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本基金不投资股票、可转换债券、可交换债券。</w:t>
      </w:r>
    </w:p>
    <w:p w14:paraId="01F81D49">
      <w:pPr>
        <w:adjustRightInd w:val="0"/>
        <w:snapToGrid w:val="0"/>
        <w:spacing w:line="360" w:lineRule="auto"/>
        <w:ind w:firstLine="480" w:firstLineChars="200"/>
        <w:rPr>
          <w:bCs/>
          <w:color w:val="000000" w:themeColor="text1"/>
          <w:sz w:val="24"/>
          <w:lang w:eastAsia="zh-CN"/>
          <w14:textFill>
            <w14:solidFill>
              <w14:schemeClr w14:val="tx1"/>
            </w14:solidFill>
          </w14:textFill>
        </w:rPr>
      </w:pPr>
      <w:r>
        <w:rPr>
          <w:bCs/>
          <w:color w:val="000000" w:themeColor="text1"/>
          <w:sz w:val="24"/>
          <w:lang w:eastAsia="zh-CN"/>
          <w14:textFill>
            <w14:solidFill>
              <w14:schemeClr w14:val="tx1"/>
            </w14:solidFill>
          </w14:textFill>
        </w:rPr>
        <w:t>如法律法规或监管机构以后允许基金投资其他品种，基金管理人在履行适当程序后，可以将其纳入投资范围。</w:t>
      </w:r>
    </w:p>
    <w:p w14:paraId="1F3842AC">
      <w:pPr>
        <w:widowControl/>
        <w:adjustRightInd w:val="0"/>
        <w:snapToGrid w:val="0"/>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14:paraId="7A4D1532">
      <w:pPr>
        <w:widowControl/>
        <w:spacing w:line="324"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本基金不得投资于相关法律、法规、部门规章及《基金合同》禁止投资的投资工具。</w:t>
      </w:r>
    </w:p>
    <w:p w14:paraId="5929F967">
      <w:pPr>
        <w:spacing w:after="120" w:line="324"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2、基金托管人根据有关法律法规的规定及《基金合同》的约定对下述基金投资比例进行监督：</w:t>
      </w:r>
    </w:p>
    <w:p w14:paraId="6DEEA5BE">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1）按法律法规的规定及《基金合同》的约定，本基金的投资组合比例为：本基金对债券的投资比例不低于基金资产的80％，但应开放期流动性需要，为保护基金份额持有人利益，在每次开放期开始前10个工作日、开放期及开放期结束后10个工作日的期间内，基金投资不受上述比例限制。在开放期内，本基金持有的现金（不包括结算备付金、存出保证金、应收申购款等）或者到期日在一年以内的政府债券不低于基金资产净值的5%，在封闭期本基金不受前述5%的限制。</w:t>
      </w:r>
    </w:p>
    <w:p w14:paraId="649CF2B7">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因基金规模或市场变化等因素导致投资组合不符合上述规定的，基金管理人应在合理的期限内调整基金的投资组合，以符合上述比例限定。法律法规另有规定时，从其规定。</w:t>
      </w:r>
    </w:p>
    <w:p w14:paraId="31055F82">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（2）根据法律法规的规定及《基金合同》的约定，本基金投资组合遵循以下投资限制：</w:t>
      </w:r>
    </w:p>
    <w:p w14:paraId="1CEE69F5">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1）本基金对债券的投资比例不低于基金资产的80％，但应开放期流动性需要，为保护基金份额持有人利益，在每次开放期开始前10个工作日、开放期及开放期结束后10个工作日的期间内，基金投资不受上述比例限制；</w:t>
      </w:r>
    </w:p>
    <w:p w14:paraId="3C58EDF9">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2）开放期内，保持不低于基金资产净值5％的现金或者到期日在一年以内的政府债券，在封闭期内，本基金不受上述5%的限制；其中现金不包括结算备付金、存出保证金和应收申购款等；</w:t>
      </w:r>
    </w:p>
    <w:p w14:paraId="0E23C336">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3）本基金持有一家公司发行的证券，其市值不超过基金资产净值的10％；</w:t>
      </w:r>
    </w:p>
    <w:p w14:paraId="7795D32B">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4）本基金管理人管理的全部基金持有一家公司发行的证券，不超过该证券的10％；</w:t>
      </w:r>
    </w:p>
    <w:p w14:paraId="3CE24A8D">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5）本基金进入全国银行间同业市场进行债券回购的最长期限为1年，债券回购到期后不得展期；</w:t>
      </w:r>
    </w:p>
    <w:p w14:paraId="73509DA4">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6）封闭期内，本基金资产总值不得超过基金资产净值的200%；开放期内，本基金资产总值不超过基金资产净值的140%；</w:t>
      </w:r>
    </w:p>
    <w:p w14:paraId="3BAF1963">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7）开放期内，本基金主动投资于流动性受限资产的市值合计不得超过该基金资产净值的15%；因证券市场波动、基金规模变动等基金管理人之外的因素致使基金不符合该比例限制的，基金管理人不得主动新增流动性受限资产的投资；</w:t>
      </w:r>
    </w:p>
    <w:p w14:paraId="7B293777">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8）本基金与私募类证券资管产品及中国证监会认定的其他主体为交易对手开展逆回购交易的，可接受质押品的资质要求应当与基金合同约定的投资范围保持一致；</w:t>
      </w:r>
    </w:p>
    <w:p w14:paraId="0EF4D461">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9）法律法规及中国证监会规定的和《基金合同》约定的其他投资限制。</w:t>
      </w:r>
    </w:p>
    <w:p w14:paraId="5034383F">
      <w:pPr>
        <w:spacing w:line="360" w:lineRule="auto"/>
        <w:ind w:firstLine="720" w:firstLineChars="3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托管人对上述指标的监督义务，仅限于监督由基金管理人管理且由基金托管人托管的全部公募基金是否符合上述比例限制。《基金法》及其他有关法律法规或监管部门取消上述限制的，履行适当程序后，基金不受上述限制。</w:t>
      </w:r>
    </w:p>
    <w:p w14:paraId="41CF4E70">
      <w:pPr>
        <w:spacing w:line="440" w:lineRule="atLeas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（3）法律法规允许的基金投资比例调整期限</w:t>
      </w:r>
    </w:p>
    <w:p w14:paraId="4415CD37">
      <w:pPr>
        <w:spacing w:line="440" w:lineRule="atLeas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除上述第（</w:t>
      </w:r>
      <w:r>
        <w:rPr>
          <w:color w:val="000000" w:themeColor="text1"/>
          <w:sz w:val="24"/>
          <w:lang w:eastAsia="zh-CN"/>
          <w14:textFill>
            <w14:solidFill>
              <w14:schemeClr w14:val="tx1"/>
            </w14:solidFill>
          </w14:textFill>
        </w:rPr>
        <w:t>2</w:t>
      </w:r>
      <w:r>
        <w:rPr>
          <w:rFonts w:hint="eastAsia"/>
          <w:color w:val="000000" w:themeColor="text1"/>
          <w:sz w:val="24"/>
          <w:lang w:eastAsia="zh-CN"/>
          <w14:textFill>
            <w14:solidFill>
              <w14:schemeClr w14:val="tx1"/>
            </w14:solidFill>
          </w14:textFill>
        </w:rPr>
        <w:t>）项的2）、</w:t>
      </w:r>
      <w:r>
        <w:rPr>
          <w:color w:val="000000" w:themeColor="text1"/>
          <w:sz w:val="24"/>
          <w:lang w:eastAsia="zh-CN"/>
          <w14:textFill>
            <w14:solidFill>
              <w14:schemeClr w14:val="tx1"/>
            </w14:solidFill>
          </w14:textFill>
        </w:rPr>
        <w:t>7</w:t>
      </w:r>
      <w:r>
        <w:rPr>
          <w:rFonts w:hint="eastAsia"/>
          <w:color w:val="000000" w:themeColor="text1"/>
          <w:sz w:val="24"/>
          <w:lang w:eastAsia="zh-CN"/>
          <w14:textFill>
            <w14:solidFill>
              <w14:schemeClr w14:val="tx1"/>
            </w14:solidFill>
          </w14:textFill>
        </w:rPr>
        <w:t>）、8）情形之外，因证券市场波动、证券发行人合并、基金规模变动等基金管理人之外的因素致使基金投资比例不符合上述规定投资比例的，基金管理人应当在10个交易日内进行调整，但中国证监会规定的特殊情形除外。</w:t>
      </w:r>
    </w:p>
    <w:p w14:paraId="2F60746A">
      <w:pPr>
        <w:spacing w:line="440" w:lineRule="atLeast"/>
        <w:ind w:right="28"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384DDFF8">
      <w:pPr>
        <w:spacing w:line="440" w:lineRule="atLeast"/>
        <w:ind w:right="28"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如果法律法规或监管部门对上述投资组合比例限制进行变更的，则本基金投资以变更后的规定为准。法律法规或监管部门取消上述限制，如适用于本基金，基金管理人在履行适当程序后，则本基金投资不再受相关限制。</w:t>
      </w:r>
    </w:p>
    <w:p w14:paraId="6DBA1D93">
      <w:pPr>
        <w:spacing w:after="120"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3、基金托管人根据有关法律法规的规定及《基金合同》的约定对下述基金投资禁止行为进行监督：</w:t>
      </w:r>
    </w:p>
    <w:p w14:paraId="4A42725C">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根据法律法规的规定及《基金合同》的约定，本基金禁止从事下列行为：</w:t>
      </w:r>
    </w:p>
    <w:p w14:paraId="55AB1864">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（1）承销证券；</w:t>
      </w:r>
    </w:p>
    <w:p w14:paraId="23814408">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（2）违反规定向他人贷款或者提供担保；</w:t>
      </w:r>
    </w:p>
    <w:p w14:paraId="33F4DFE9">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（3）从事承担无限责任的投资；</w:t>
      </w:r>
    </w:p>
    <w:p w14:paraId="330D086F">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（4）买卖其他基金份额，但是中国证监会另有规定的除外；</w:t>
      </w:r>
    </w:p>
    <w:p w14:paraId="5E008D8B">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（5）向其基金管理人、基金托管人出资；</w:t>
      </w:r>
    </w:p>
    <w:p w14:paraId="7BBF4FFB">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（6）从事内幕交易、操纵证券交易价格及其他不正当的证券交易活动；</w:t>
      </w:r>
    </w:p>
    <w:p w14:paraId="0990C7E6">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（7）法律、行政法规和中国证监会规定禁止的其他活动。</w:t>
      </w:r>
    </w:p>
    <w:p w14:paraId="2E11C19A">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1FCB21B">
      <w:pPr>
        <w:spacing w:line="360" w:lineRule="auto"/>
        <w:ind w:left="1" w:firstLine="540" w:firstLineChars="22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法律、行政法规或监管部门取消或变更上述禁止性或限制性规定，如适用于本基金，则基金管理人在履行适当程序后，本基金可不受上述规定的限制</w:t>
      </w:r>
      <w:r>
        <w:rPr>
          <w:rFonts w:hint="eastAsia"/>
          <w:bCs/>
          <w:color w:val="000000" w:themeColor="text1"/>
          <w:sz w:val="24"/>
          <w:lang w:eastAsia="zh-CN"/>
          <w14:textFill>
            <w14:solidFill>
              <w14:schemeClr w14:val="tx1"/>
            </w14:solidFill>
          </w14:textFill>
        </w:rPr>
        <w:t>或以变更后的规定为准</w:t>
      </w:r>
      <w:r>
        <w:rPr>
          <w:rFonts w:hint="eastAsia"/>
          <w:color w:val="000000" w:themeColor="text1"/>
          <w:sz w:val="24"/>
          <w:lang w:eastAsia="zh-CN"/>
          <w14:textFill>
            <w14:solidFill>
              <w14:schemeClr w14:val="tx1"/>
            </w14:solidFill>
          </w14:textFill>
        </w:rPr>
        <w:t>。</w:t>
      </w:r>
    </w:p>
    <w:p w14:paraId="2406C9F2">
      <w:pPr>
        <w:spacing w:line="440" w:lineRule="exact"/>
        <w:ind w:firstLine="397"/>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4、基金托管人依据有关法律法规的规定和《基金合同》的约定对于基金关联投资限制进行监督。</w:t>
      </w:r>
    </w:p>
    <w:p w14:paraId="2BD8C4F0">
      <w:pPr>
        <w:spacing w:after="120"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如法律法规或《基金合同》有关于基金从事关联交易的规定，基金管理人和基金托管人事先相互提供与本机构有控股关系的股东、与本机构有其他重大利害关系的公司名单及有关关联方发行的证券清单, 加盖公章并书面提交。双方有责任确保关联交易名单的真实性、准确性、完整性，并及时发送更新后的名单。名单变更后各方应及时发送对方，经对方确认后，新的关联交易名单开始生效。基金托管人仅按基金管理人提供的基金关联方名单为限,进行监督。基金管理人或基金托管人隐瞒其关联方及关联方发行的证券，导致基金违规进行关联交易，并造成基金资产损失的，由隐瞒方承担责任。</w:t>
      </w:r>
    </w:p>
    <w:p w14:paraId="64403AB2">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5、基金托管人依据有关法律法规的规定和《基金合同》的约定对基金管理人参与银行间债券市场进行监督。</w:t>
      </w:r>
    </w:p>
    <w:p w14:paraId="7B6AF12C">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托管人根据基金管理人提供的银行间债券市场交易对手名单进行监督。基金管理人有责任控制交易对手的资信风险，由于交易对手的资信风险引起的损失，基金管理人应当负责向相关责任人追偿。如基金管理人在基金首次投资银行间债券市场之前仍未向基金托管人提供银行间债券市场交易对手名单的，视为基金管理人认可全市场交易对手。</w:t>
      </w:r>
    </w:p>
    <w:p w14:paraId="64592D6D">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6、基金托管人依据有关法律法规的规定和《基金合同》的约定，对基金银行存款业务进行监督。</w:t>
      </w:r>
    </w:p>
    <w:p w14:paraId="24622EFD">
      <w:pPr>
        <w:spacing w:line="440" w:lineRule="exact"/>
        <w:ind w:firstLine="516" w:firstLineChars="215"/>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管理人应当加强对基金投资银行存款风险的评估与研究，严格测算与控制投资银行存款的风险敞口，针对不同类型存款银行建立相关投资限制制度。如果基金托管人在运作过程中遵循有关法律法规的规定和《基金合同》的约定监督流程，则对于由于存款银行信用风险引起的损失，不承担赔偿责任。</w:t>
      </w:r>
    </w:p>
    <w:p w14:paraId="16B647A4">
      <w:pPr>
        <w:pStyle w:val="3"/>
        <w:adjustRightInd w:val="0"/>
        <w:spacing w:line="360" w:lineRule="auto"/>
        <w:ind w:left="0" w:firstLine="480" w:firstLineChars="200"/>
        <w:jc w:val="both"/>
        <w:textAlignment w:val="baseline"/>
        <w:rPr>
          <w:rFonts w:ascii="宋体" w:hAnsi="宋体" w:eastAsia="宋体"/>
          <w:b w:val="0"/>
          <w:color w:val="000000" w:themeColor="text1"/>
          <w:sz w:val="24"/>
          <w:szCs w:val="24"/>
          <w:lang w:eastAsia="zh-CN"/>
          <w14:textFill>
            <w14:solidFill>
              <w14:schemeClr w14:val="tx1"/>
            </w14:solidFill>
          </w14:textFill>
        </w:rPr>
      </w:pPr>
      <w:bookmarkStart w:id="118" w:name="_Toc382819074"/>
      <w:r>
        <w:rPr>
          <w:rFonts w:hint="eastAsia" w:ascii="宋体" w:hAnsi="宋体" w:eastAsia="宋体"/>
          <w:b w:val="0"/>
          <w:color w:val="000000" w:themeColor="text1"/>
          <w:sz w:val="24"/>
          <w:szCs w:val="24"/>
          <w:lang w:eastAsia="zh-CN"/>
          <w14:textFill>
            <w14:solidFill>
              <w14:schemeClr w14:val="tx1"/>
            </w14:solidFill>
          </w14:textFill>
        </w:rPr>
        <w:t>（二）基金托管人应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bookmarkEnd w:id="118"/>
    </w:p>
    <w:p w14:paraId="1C15CE16">
      <w:pPr>
        <w:pStyle w:val="3"/>
        <w:adjustRightInd w:val="0"/>
        <w:spacing w:line="360" w:lineRule="auto"/>
        <w:ind w:left="0" w:firstLine="480" w:firstLineChars="200"/>
        <w:jc w:val="both"/>
        <w:textAlignment w:val="baseline"/>
        <w:rPr>
          <w:rFonts w:ascii="宋体" w:hAnsi="宋体" w:eastAsia="宋体"/>
          <w:b w:val="0"/>
          <w:color w:val="000000" w:themeColor="text1"/>
          <w:sz w:val="24"/>
          <w:szCs w:val="24"/>
          <w:lang w:eastAsia="zh-CN"/>
          <w14:textFill>
            <w14:solidFill>
              <w14:schemeClr w14:val="tx1"/>
            </w14:solidFill>
          </w14:textFill>
        </w:rPr>
      </w:pPr>
      <w:bookmarkStart w:id="119" w:name="_Toc382819075"/>
      <w:r>
        <w:rPr>
          <w:rFonts w:hint="eastAsia" w:ascii="宋体" w:hAnsi="宋体" w:eastAsia="宋体"/>
          <w:b w:val="0"/>
          <w:color w:val="000000" w:themeColor="text1"/>
          <w:sz w:val="24"/>
          <w:szCs w:val="24"/>
          <w:lang w:eastAsia="zh-CN"/>
          <w14:textFill>
            <w14:solidFill>
              <w14:schemeClr w14:val="tx1"/>
            </w14:solidFill>
          </w14:textFill>
        </w:rPr>
        <w:t>（三）基金托管人发现基金管理人的投资运作及其他运作违反《基金法》、《基金合同》、基金托管协议等有关规定时，应及时以书面形式通知基金管理人限期纠正，基金管理人收到通知后应在下一个工作日及时核对，并以书面形式向基金托管人发出回函，进行解释或举证。</w:t>
      </w:r>
      <w:bookmarkEnd w:id="119"/>
    </w:p>
    <w:p w14:paraId="04C7981F">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在限期内，基金托管人有权随时对通知事项进行复查，督促基金管理人改正。基金管理人对基金托管人通知的违规事项未能在限期内纠正的，基金托管人应报告中国证监会。</w:t>
      </w:r>
    </w:p>
    <w:p w14:paraId="3A7A45AF">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管理人有义务配合和协助基金托管人依照法律法规、《基金合同》和本托管协议对基金业务的监督和核查，对基金托管人发出的书面提示，必须在规定时间内答复基金托管人并改正，或就基金托管人的疑义进行解释或举证，对基金托管人按照法律法规、《基金合同》和本托管协议的要求需向中国证监会报送基金监督报告的，基金管理人应积极配合提供相关数据资料和制度等。</w:t>
      </w:r>
    </w:p>
    <w:p w14:paraId="23C2B132">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基金托管人应当依照法律法规和基金合同约定，加强对侧袋机制启用、特定资产处置和信息披露方面的复核和监督。</w:t>
      </w:r>
    </w:p>
    <w:p w14:paraId="3DB3BEF5">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754482FD">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14:paraId="3589BD5B">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对于必须于估值完成后方可获知的监控指标或依据交易程序已经成交的投资指令，基金托管人发现该投资指令违反法律法规或者违反《基金合同》约定的，应当立即通知基金管理人，并报告中国证监会。</w:t>
      </w:r>
    </w:p>
    <w:p w14:paraId="27B393FF">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基金托管人发现基金管理人有重大违规行为，应立即报告中国证监会，同时通知基金管理人限期纠正。</w:t>
      </w:r>
    </w:p>
    <w:p w14:paraId="7319A6FE">
      <w:pPr>
        <w:spacing w:line="440" w:lineRule="exact"/>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02FBD971">
      <w:pPr>
        <w:adjustRightInd w:val="0"/>
        <w:snapToGrid w:val="0"/>
        <w:spacing w:line="360" w:lineRule="auto"/>
        <w:ind w:firstLine="480" w:firstLineChars="200"/>
        <w:rPr>
          <w:color w:val="000000"/>
          <w:sz w:val="28"/>
          <w:lang w:eastAsia="zh-CN"/>
        </w:rPr>
      </w:pPr>
      <w:r>
        <w:rPr>
          <w:bCs/>
          <w:sz w:val="24"/>
          <w:lang w:eastAsia="zh-CN"/>
        </w:rPr>
        <w:t>三、基金管理人对基金托管人的业务核查</w:t>
      </w:r>
    </w:p>
    <w:p w14:paraId="756EAA34">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管理人对基金托管人履行托管职责情况进行核查，核查事项包括但不限于基金托管人是否安全保管基金财产、是否分别开设基金财产的资金账户和证券账户及投资所需其他账户、是否复核基金管理人计算的基金资产净值和基金份额净值、是否根据基金管理人指令办理清算交收、进行相关信息披露和监督基金投资运作等行为。</w:t>
      </w:r>
    </w:p>
    <w:p w14:paraId="79079CAA">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636EB01E">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基金托管人应积极配合基金管理人的核查行为，包括但不限于：提交相关资料以供基金管理人核查托管财产的完整性和真实性，在规定时间内答复基金管理人并改正。</w:t>
      </w:r>
    </w:p>
    <w:p w14:paraId="3A37F643">
      <w:pPr>
        <w:adjustRightInd w:val="0"/>
        <w:snapToGrid w:val="0"/>
        <w:spacing w:line="360" w:lineRule="auto"/>
        <w:ind w:firstLine="480" w:firstLineChars="200"/>
        <w:rPr>
          <w:sz w:val="24"/>
          <w:lang w:eastAsia="zh-CN"/>
        </w:rPr>
      </w:pPr>
      <w:bookmarkStart w:id="120" w:name="_Toc382819077"/>
      <w:bookmarkStart w:id="121" w:name="_Toc382818598"/>
      <w:r>
        <w:rPr>
          <w:rFonts w:hint="eastAsia"/>
          <w:color w:val="000000" w:themeColor="text1"/>
          <w:sz w:val="24"/>
          <w:lang w:eastAsia="zh-CN"/>
          <w14:textFill>
            <w14:solidFill>
              <w14:schemeClr w14:val="tx1"/>
            </w14:solidFill>
          </w14:textFill>
        </w:rPr>
        <w:t>基金托管人无正当理由，拒绝、阻挠基金管理人根据本协议规定行使监督权，或采取拖延、欺诈等手段妨碍基金管理人进行有效监督，情节严重或经基金管理人提出警告仍不改正的，基金管理人应报告中国证监会。</w:t>
      </w:r>
      <w:bookmarkEnd w:id="120"/>
      <w:bookmarkEnd w:id="121"/>
    </w:p>
    <w:p w14:paraId="6DA78E15">
      <w:pPr>
        <w:adjustRightInd w:val="0"/>
        <w:snapToGrid w:val="0"/>
        <w:spacing w:line="360" w:lineRule="auto"/>
        <w:ind w:firstLine="480" w:firstLineChars="200"/>
        <w:rPr>
          <w:color w:val="000000"/>
          <w:sz w:val="24"/>
          <w:szCs w:val="24"/>
          <w:lang w:eastAsia="zh-CN"/>
        </w:rPr>
      </w:pPr>
      <w:bookmarkStart w:id="122" w:name="_Toc417740622"/>
      <w:r>
        <w:rPr>
          <w:color w:val="000000"/>
          <w:sz w:val="24"/>
          <w:szCs w:val="24"/>
          <w:lang w:eastAsia="zh-CN"/>
        </w:rPr>
        <w:t>四、</w:t>
      </w:r>
      <w:bookmarkStart w:id="123" w:name="_Toc86737930"/>
      <w:bookmarkStart w:id="124" w:name="_Toc120435784"/>
      <w:bookmarkStart w:id="125" w:name="_Toc417740619"/>
      <w:bookmarkStart w:id="126" w:name="_Toc86649723"/>
      <w:bookmarkStart w:id="127" w:name="_Toc118972649"/>
      <w:bookmarkStart w:id="128" w:name="_Toc119402711"/>
      <w:bookmarkStart w:id="129" w:name="_Toc86726440"/>
      <w:bookmarkStart w:id="130" w:name="_Toc86204789"/>
      <w:bookmarkStart w:id="131" w:name="_Toc110830493"/>
      <w:bookmarkStart w:id="132" w:name="_Toc110761797"/>
      <w:bookmarkStart w:id="133" w:name="_Toc118774804"/>
      <w:bookmarkStart w:id="134" w:name="_Toc118212951"/>
      <w:bookmarkStart w:id="135" w:name="_Toc84234388"/>
      <w:bookmarkStart w:id="136" w:name="_Toc108512359"/>
      <w:bookmarkStart w:id="137" w:name="_Toc89163369"/>
      <w:bookmarkStart w:id="138" w:name="_Toc110765661"/>
      <w:bookmarkStart w:id="139" w:name="_Toc84133786"/>
      <w:bookmarkStart w:id="140" w:name="_Toc86223243"/>
      <w:bookmarkStart w:id="141" w:name="_Toc86225292"/>
      <w:bookmarkStart w:id="142" w:name="_Toc84234435"/>
      <w:bookmarkStart w:id="143" w:name="_Toc86727356"/>
      <w:r>
        <w:rPr>
          <w:color w:val="000000"/>
          <w:sz w:val="24"/>
          <w:szCs w:val="24"/>
          <w:lang w:eastAsia="zh-CN"/>
        </w:rPr>
        <w:t>基金财产的保管</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685B22DD">
      <w:pPr>
        <w:adjustRightInd w:val="0"/>
        <w:snapToGrid w:val="0"/>
        <w:spacing w:line="360" w:lineRule="auto"/>
        <w:ind w:firstLine="480" w:firstLineChars="200"/>
        <w:rPr>
          <w:sz w:val="24"/>
          <w:lang w:eastAsia="zh-CN"/>
        </w:rPr>
      </w:pPr>
      <w:bookmarkStart w:id="144" w:name="_Toc382819079"/>
      <w:r>
        <w:rPr>
          <w:rFonts w:hint="eastAsia"/>
          <w:sz w:val="24"/>
          <w:lang w:eastAsia="zh-CN"/>
        </w:rPr>
        <w:t>（一）基金财产保管的原则</w:t>
      </w:r>
      <w:bookmarkEnd w:id="144"/>
    </w:p>
    <w:p w14:paraId="2A377CCB">
      <w:pPr>
        <w:adjustRightInd w:val="0"/>
        <w:snapToGrid w:val="0"/>
        <w:spacing w:line="360" w:lineRule="auto"/>
        <w:ind w:firstLine="480" w:firstLineChars="200"/>
        <w:rPr>
          <w:sz w:val="24"/>
          <w:lang w:eastAsia="zh-CN"/>
        </w:rPr>
      </w:pPr>
      <w:r>
        <w:rPr>
          <w:rFonts w:hint="eastAsia"/>
          <w:sz w:val="24"/>
          <w:lang w:eastAsia="zh-CN"/>
        </w:rPr>
        <w:t>1、基金财产应独立于基金管理人、基金托管人的固有财产。</w:t>
      </w:r>
    </w:p>
    <w:p w14:paraId="5C9AD82C">
      <w:pPr>
        <w:adjustRightInd w:val="0"/>
        <w:snapToGrid w:val="0"/>
        <w:spacing w:line="360" w:lineRule="auto"/>
        <w:ind w:firstLine="480" w:firstLineChars="200"/>
        <w:rPr>
          <w:sz w:val="24"/>
          <w:lang w:eastAsia="zh-CN"/>
        </w:rPr>
      </w:pPr>
      <w:r>
        <w:rPr>
          <w:rFonts w:hint="eastAsia"/>
          <w:sz w:val="24"/>
          <w:lang w:eastAsia="zh-CN"/>
        </w:rPr>
        <w:t>2、基金托管人应按本协议规定安全保管托管财产。未经基金管理人的指令，不得自行运用、处分、分配基金的任何财产（基金托管人主动扣收的汇划费除外）。基金托管人不对处于自身实际控制之外的账户及财产承担责任。</w:t>
      </w:r>
    </w:p>
    <w:p w14:paraId="3FC5CB9A">
      <w:pPr>
        <w:adjustRightInd w:val="0"/>
        <w:snapToGrid w:val="0"/>
        <w:spacing w:line="360" w:lineRule="auto"/>
        <w:ind w:firstLine="480" w:firstLineChars="200"/>
        <w:rPr>
          <w:sz w:val="24"/>
          <w:lang w:eastAsia="zh-CN"/>
        </w:rPr>
      </w:pPr>
      <w:r>
        <w:rPr>
          <w:rFonts w:hint="eastAsia"/>
          <w:sz w:val="24"/>
          <w:lang w:eastAsia="zh-CN"/>
        </w:rPr>
        <w:t>3、基金托管人按照规定为托管的基金财产开设资金账户和证券账户及投资所需其他账户。</w:t>
      </w:r>
    </w:p>
    <w:p w14:paraId="6326E485">
      <w:pPr>
        <w:adjustRightInd w:val="0"/>
        <w:snapToGrid w:val="0"/>
        <w:spacing w:line="360" w:lineRule="auto"/>
        <w:ind w:firstLine="480" w:firstLineChars="200"/>
        <w:rPr>
          <w:sz w:val="24"/>
          <w:lang w:eastAsia="zh-CN"/>
        </w:rPr>
      </w:pPr>
      <w:r>
        <w:rPr>
          <w:rFonts w:hint="eastAsia"/>
          <w:sz w:val="24"/>
          <w:lang w:eastAsia="zh-CN"/>
        </w:rPr>
        <w:t>4、基金托管人对所托管的不同基金财产分别设置账户，与基金托管人的其他业务和其他基金的托管业务实行严格的分账管理，独立核算，确保基金财产的完整与独立。</w:t>
      </w:r>
    </w:p>
    <w:p w14:paraId="2502D463">
      <w:pPr>
        <w:adjustRightInd w:val="0"/>
        <w:snapToGrid w:val="0"/>
        <w:spacing w:line="360" w:lineRule="auto"/>
        <w:ind w:firstLine="480" w:firstLineChars="200"/>
        <w:rPr>
          <w:sz w:val="24"/>
          <w:lang w:eastAsia="zh-CN"/>
        </w:rPr>
      </w:pPr>
      <w:r>
        <w:rPr>
          <w:rFonts w:hint="eastAsia"/>
          <w:sz w:val="24"/>
          <w:lang w:eastAsia="zh-CN"/>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5CC2703A">
      <w:pPr>
        <w:adjustRightInd w:val="0"/>
        <w:snapToGrid w:val="0"/>
        <w:spacing w:line="360" w:lineRule="auto"/>
        <w:ind w:firstLine="480" w:firstLineChars="200"/>
        <w:rPr>
          <w:sz w:val="24"/>
          <w:lang w:eastAsia="zh-CN"/>
        </w:rPr>
      </w:pPr>
      <w:bookmarkStart w:id="145" w:name="_Toc382819080"/>
      <w:r>
        <w:rPr>
          <w:rFonts w:hint="eastAsia"/>
          <w:sz w:val="24"/>
          <w:lang w:eastAsia="zh-CN"/>
        </w:rPr>
        <w:t>（二）募集资金的验证</w:t>
      </w:r>
      <w:bookmarkEnd w:id="145"/>
    </w:p>
    <w:p w14:paraId="1BE9C3BF">
      <w:pPr>
        <w:adjustRightInd w:val="0"/>
        <w:snapToGrid w:val="0"/>
        <w:spacing w:line="360" w:lineRule="auto"/>
        <w:ind w:firstLine="480" w:firstLineChars="200"/>
        <w:rPr>
          <w:sz w:val="24"/>
          <w:lang w:eastAsia="zh-CN"/>
        </w:rPr>
      </w:pPr>
      <w:r>
        <w:rPr>
          <w:rFonts w:hint="eastAsia"/>
          <w:sz w:val="24"/>
          <w:lang w:eastAsia="zh-CN"/>
        </w:rPr>
        <w:t>募集期内销售机构按销售与服务代理协议的约定，将认购资金划入基金管理人在具有托管资格的商业银行开设的“国新国证基金管理有限公司基金认购专户”。该账户由基金管理人开立并管理。基金募集期满，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方为有效。验资完成，基金管理人应将募集的属于本基金财产的全部资金划入基金托管人为基金开立的资产托管专户中，并确保划入的资金与验资金额相一致。基金托管人收到有效认购资金当日以书面形式确认资金到账情况，并及时将资金到账凭证传真给基金管理人，双方进行账务处理。</w:t>
      </w:r>
    </w:p>
    <w:p w14:paraId="67259AD1">
      <w:pPr>
        <w:adjustRightInd w:val="0"/>
        <w:snapToGrid w:val="0"/>
        <w:spacing w:line="360" w:lineRule="auto"/>
        <w:ind w:firstLine="480" w:firstLineChars="200"/>
        <w:rPr>
          <w:sz w:val="24"/>
          <w:lang w:eastAsia="zh-CN"/>
        </w:rPr>
      </w:pPr>
      <w:r>
        <w:rPr>
          <w:rFonts w:hint="eastAsia"/>
          <w:sz w:val="24"/>
          <w:lang w:eastAsia="zh-CN"/>
        </w:rPr>
        <w:t>若基金募集期限届满，未能达到《基金合同》备案的条件，由基金管理人按规定办理退款事宜，基金托管人应提供充分协助。</w:t>
      </w:r>
    </w:p>
    <w:p w14:paraId="448C7123">
      <w:pPr>
        <w:adjustRightInd w:val="0"/>
        <w:snapToGrid w:val="0"/>
        <w:spacing w:line="360" w:lineRule="auto"/>
        <w:ind w:firstLine="480" w:firstLineChars="200"/>
        <w:rPr>
          <w:sz w:val="24"/>
          <w:lang w:eastAsia="zh-CN"/>
        </w:rPr>
      </w:pPr>
      <w:bookmarkStart w:id="146" w:name="_Toc382819081"/>
      <w:r>
        <w:rPr>
          <w:rFonts w:hint="eastAsia"/>
          <w:sz w:val="24"/>
          <w:lang w:eastAsia="zh-CN"/>
        </w:rPr>
        <w:t>（三）基金资产托管专户的开立和管理</w:t>
      </w:r>
      <w:bookmarkEnd w:id="146"/>
    </w:p>
    <w:p w14:paraId="18A69A55">
      <w:pPr>
        <w:adjustRightInd w:val="0"/>
        <w:snapToGrid w:val="0"/>
        <w:spacing w:line="360" w:lineRule="auto"/>
        <w:ind w:firstLine="480" w:firstLineChars="200"/>
        <w:rPr>
          <w:sz w:val="24"/>
          <w:lang w:eastAsia="zh-CN"/>
        </w:rPr>
      </w:pPr>
      <w:r>
        <w:rPr>
          <w:rFonts w:hint="eastAsia"/>
          <w:sz w:val="24"/>
          <w:lang w:eastAsia="zh-CN"/>
        </w:rPr>
        <w:t>基金托管人以基金的名义在其营业机构开设资产托管专户，并根据基金管理人合法合规的有效指令办理资金收付。基金管理人应根据法律法规及基金托管人的相关要求，提供开户所需的资料并提供其他必要协助。本基金的资产托管专户的预留印鉴的印章由基金托管人刻制、保管和使用。</w:t>
      </w:r>
    </w:p>
    <w:p w14:paraId="1B590B63">
      <w:pPr>
        <w:adjustRightInd w:val="0"/>
        <w:snapToGrid w:val="0"/>
        <w:spacing w:line="360" w:lineRule="auto"/>
        <w:ind w:firstLine="480" w:firstLineChars="200"/>
        <w:rPr>
          <w:sz w:val="24"/>
          <w:lang w:eastAsia="zh-CN"/>
        </w:rPr>
      </w:pPr>
      <w:r>
        <w:rPr>
          <w:rFonts w:hint="eastAsia"/>
          <w:sz w:val="24"/>
          <w:lang w:eastAsia="zh-CN"/>
        </w:rPr>
        <w:t>本基金的一切货币收支活动，均需通过基金托管人或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14:paraId="711B2C62">
      <w:pPr>
        <w:adjustRightInd w:val="0"/>
        <w:snapToGrid w:val="0"/>
        <w:spacing w:line="360" w:lineRule="auto"/>
        <w:ind w:firstLine="480" w:firstLineChars="200"/>
        <w:rPr>
          <w:sz w:val="24"/>
          <w:lang w:eastAsia="zh-CN"/>
        </w:rPr>
      </w:pPr>
      <w:r>
        <w:rPr>
          <w:rFonts w:hint="eastAsia"/>
          <w:sz w:val="24"/>
          <w:lang w:eastAsia="zh-CN"/>
        </w:rPr>
        <w:t>资产托管专户的管理应符合《人民币银行结算账户管理办法》、《现金管理暂行条例》、《人民币利率管理规定》、《利率管理暂行规定》、《支付结算办法》以及银行业监督管理机构的其他有关规定。</w:t>
      </w:r>
    </w:p>
    <w:p w14:paraId="52CB5E63">
      <w:pPr>
        <w:adjustRightInd w:val="0"/>
        <w:snapToGrid w:val="0"/>
        <w:spacing w:line="360" w:lineRule="auto"/>
        <w:ind w:firstLine="480" w:firstLineChars="200"/>
        <w:rPr>
          <w:sz w:val="24"/>
          <w:lang w:eastAsia="zh-CN"/>
        </w:rPr>
      </w:pPr>
      <w:bookmarkStart w:id="147" w:name="_Toc382819082"/>
      <w:r>
        <w:rPr>
          <w:rFonts w:hint="eastAsia"/>
          <w:sz w:val="24"/>
          <w:lang w:eastAsia="zh-CN"/>
        </w:rPr>
        <w:t>（四）基金证券账户与证券交易资金账户的开设和管理</w:t>
      </w:r>
      <w:bookmarkEnd w:id="147"/>
    </w:p>
    <w:p w14:paraId="43465DD2">
      <w:pPr>
        <w:adjustRightInd w:val="0"/>
        <w:snapToGrid w:val="0"/>
        <w:spacing w:line="360" w:lineRule="auto"/>
        <w:ind w:firstLine="480" w:firstLineChars="200"/>
        <w:rPr>
          <w:sz w:val="24"/>
          <w:lang w:eastAsia="zh-CN"/>
        </w:rPr>
      </w:pPr>
      <w:r>
        <w:rPr>
          <w:rFonts w:hint="eastAsia"/>
          <w:sz w:val="24"/>
          <w:lang w:eastAsia="zh-CN"/>
        </w:rPr>
        <w:t>基金托管人以基金托管人和本基金联名的方式在中国证券登记结算有限公司上海分公司/深圳分公司开立专门的证券账户。</w:t>
      </w:r>
    </w:p>
    <w:p w14:paraId="5627431C">
      <w:pPr>
        <w:adjustRightInd w:val="0"/>
        <w:snapToGrid w:val="0"/>
        <w:spacing w:line="360" w:lineRule="auto"/>
        <w:ind w:firstLine="480" w:firstLineChars="200"/>
        <w:rPr>
          <w:sz w:val="24"/>
          <w:lang w:eastAsia="zh-CN"/>
        </w:rPr>
      </w:pPr>
      <w:r>
        <w:rPr>
          <w:rFonts w:hint="eastAsia"/>
          <w:sz w:val="24"/>
          <w:lang w:eastAsia="zh-CN"/>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482F23F7">
      <w:pPr>
        <w:adjustRightInd w:val="0"/>
        <w:snapToGrid w:val="0"/>
        <w:spacing w:line="360" w:lineRule="auto"/>
        <w:ind w:firstLine="480" w:firstLineChars="200"/>
        <w:rPr>
          <w:sz w:val="24"/>
          <w:lang w:eastAsia="zh-CN"/>
        </w:rPr>
      </w:pPr>
      <w:r>
        <w:rPr>
          <w:rFonts w:hint="eastAsia"/>
          <w:sz w:val="24"/>
          <w:lang w:eastAsia="zh-CN"/>
        </w:rPr>
        <w:t>基金证券账户的开立和原始开户材料的保管由基金托管人负责，账户资产的管理和运用由基金管理人负责。基金托管人以基金托管人的名义在中国证券登记结算有限责任公司上海分公司/深圳分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14:paraId="301E0F31">
      <w:pPr>
        <w:adjustRightInd w:val="0"/>
        <w:snapToGrid w:val="0"/>
        <w:spacing w:line="360" w:lineRule="auto"/>
        <w:ind w:firstLine="480" w:firstLineChars="200"/>
        <w:rPr>
          <w:sz w:val="24"/>
          <w:lang w:eastAsia="zh-CN"/>
        </w:rPr>
      </w:pPr>
      <w:bookmarkStart w:id="148" w:name="_Toc382819083"/>
      <w:r>
        <w:rPr>
          <w:rFonts w:hint="eastAsia"/>
          <w:sz w:val="24"/>
          <w:lang w:eastAsia="zh-CN"/>
        </w:rPr>
        <w:t>（五）银行间市场债券托管和资金结算专户的开立和管理及市场准入备案</w:t>
      </w:r>
      <w:bookmarkEnd w:id="148"/>
    </w:p>
    <w:p w14:paraId="331C9193">
      <w:pPr>
        <w:adjustRightInd w:val="0"/>
        <w:snapToGrid w:val="0"/>
        <w:spacing w:line="360" w:lineRule="auto"/>
        <w:ind w:firstLine="480" w:firstLineChars="200"/>
        <w:rPr>
          <w:sz w:val="24"/>
          <w:lang w:eastAsia="zh-CN"/>
        </w:rPr>
      </w:pPr>
      <w:bookmarkStart w:id="149" w:name="_Toc382819084"/>
      <w:r>
        <w:rPr>
          <w:rFonts w:hint="eastAsia"/>
          <w:sz w:val="24"/>
          <w:lang w:eastAsia="zh-CN"/>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bookmarkEnd w:id="149"/>
    </w:p>
    <w:p w14:paraId="78721E80">
      <w:pPr>
        <w:adjustRightInd w:val="0"/>
        <w:snapToGrid w:val="0"/>
        <w:spacing w:line="360" w:lineRule="auto"/>
        <w:ind w:firstLine="480" w:firstLineChars="200"/>
        <w:rPr>
          <w:sz w:val="24"/>
          <w:lang w:eastAsia="zh-CN"/>
        </w:rPr>
      </w:pPr>
      <w:r>
        <w:rPr>
          <w:rFonts w:hint="eastAsia"/>
          <w:sz w:val="24"/>
          <w:lang w:eastAsia="zh-CN"/>
        </w:rPr>
        <w:t>（六）其他账户的开设和管理</w:t>
      </w:r>
    </w:p>
    <w:p w14:paraId="2885F48E">
      <w:pPr>
        <w:adjustRightInd w:val="0"/>
        <w:snapToGrid w:val="0"/>
        <w:spacing w:line="360" w:lineRule="auto"/>
        <w:ind w:firstLine="480" w:firstLineChars="200"/>
        <w:rPr>
          <w:sz w:val="24"/>
          <w:lang w:eastAsia="zh-CN"/>
        </w:rPr>
      </w:pPr>
      <w:r>
        <w:rPr>
          <w:rFonts w:hint="eastAsia"/>
          <w:sz w:val="24"/>
          <w:lang w:eastAsia="zh-CN"/>
        </w:rPr>
        <w:t>1、因业务发展而需要开立的其它账户，可以根据《基金合同》或有关法律法规的规定，经基金管理人和基金托管人协商一致后，由基金托管人负责为基金开立。新账户按有关规则使用并管理。</w:t>
      </w:r>
    </w:p>
    <w:p w14:paraId="6B8A8EF0">
      <w:pPr>
        <w:adjustRightInd w:val="0"/>
        <w:snapToGrid w:val="0"/>
        <w:spacing w:line="360" w:lineRule="auto"/>
        <w:ind w:firstLine="480" w:firstLineChars="200"/>
        <w:rPr>
          <w:sz w:val="24"/>
          <w:lang w:eastAsia="zh-CN"/>
        </w:rPr>
      </w:pPr>
      <w:r>
        <w:rPr>
          <w:rFonts w:hint="eastAsia"/>
          <w:sz w:val="24"/>
          <w:lang w:eastAsia="zh-CN"/>
        </w:rPr>
        <w:t>2、法律、法规等有关规定对相关账户的开立和管理另有规定的，从其规定办理。</w:t>
      </w:r>
    </w:p>
    <w:p w14:paraId="4EBE6FDE">
      <w:pPr>
        <w:adjustRightInd w:val="0"/>
        <w:snapToGrid w:val="0"/>
        <w:spacing w:line="360" w:lineRule="auto"/>
        <w:ind w:firstLine="480" w:firstLineChars="200"/>
        <w:rPr>
          <w:sz w:val="24"/>
          <w:lang w:eastAsia="zh-CN"/>
        </w:rPr>
      </w:pPr>
      <w:bookmarkStart w:id="150" w:name="_Toc382819085"/>
      <w:r>
        <w:rPr>
          <w:rFonts w:hint="eastAsia"/>
          <w:sz w:val="24"/>
          <w:lang w:eastAsia="zh-CN"/>
        </w:rPr>
        <w:t>（七）基金投资银行存款账户的开立和管理</w:t>
      </w:r>
      <w:bookmarkEnd w:id="150"/>
    </w:p>
    <w:p w14:paraId="2B9BE3EC">
      <w:pPr>
        <w:adjustRightInd w:val="0"/>
        <w:snapToGrid w:val="0"/>
        <w:spacing w:line="360" w:lineRule="auto"/>
        <w:ind w:firstLine="480" w:firstLineChars="200"/>
        <w:rPr>
          <w:sz w:val="24"/>
          <w:lang w:eastAsia="zh-CN"/>
        </w:rPr>
      </w:pPr>
      <w:r>
        <w:rPr>
          <w:rFonts w:hint="eastAsia"/>
          <w:sz w:val="24"/>
          <w:lang w:eastAsia="zh-CN"/>
        </w:rPr>
        <w:t>基金投资银行定期存款，基金管理人与基金托管人应比照相关规定，就本基金投资银行存款业务签订书面协议。</w:t>
      </w:r>
    </w:p>
    <w:p w14:paraId="6BC647E4">
      <w:pPr>
        <w:adjustRightInd w:val="0"/>
        <w:snapToGrid w:val="0"/>
        <w:spacing w:line="360" w:lineRule="auto"/>
        <w:ind w:firstLine="480" w:firstLineChars="200"/>
        <w:rPr>
          <w:sz w:val="24"/>
          <w:lang w:eastAsia="zh-CN"/>
        </w:rPr>
      </w:pPr>
      <w:r>
        <w:rPr>
          <w:rFonts w:hint="eastAsia"/>
          <w:sz w:val="24"/>
          <w:lang w:eastAsia="zh-CN"/>
        </w:rPr>
        <w:t>基金投资银行定期存款应由基金管理人与存款银行总行或其授权分行签订总体合作协议，并将资金存放于存款银行总行或其授权分行指定的分支机构。</w:t>
      </w:r>
    </w:p>
    <w:p w14:paraId="168995F4">
      <w:pPr>
        <w:adjustRightInd w:val="0"/>
        <w:snapToGrid w:val="0"/>
        <w:spacing w:line="360" w:lineRule="auto"/>
        <w:ind w:firstLine="480" w:firstLineChars="200"/>
        <w:rPr>
          <w:sz w:val="24"/>
          <w:lang w:eastAsia="zh-CN"/>
        </w:rPr>
      </w:pPr>
      <w:r>
        <w:rPr>
          <w:rFonts w:hint="eastAsia"/>
          <w:sz w:val="24"/>
          <w:lang w:eastAsia="zh-CN"/>
        </w:rPr>
        <w:t>存款账户必须以基金名义开立，账户名称为基金名称，存款账户开户文件上加盖预留印鉴及基金管理人公章。</w:t>
      </w:r>
    </w:p>
    <w:p w14:paraId="4438A671">
      <w:pPr>
        <w:adjustRightInd w:val="0"/>
        <w:snapToGrid w:val="0"/>
        <w:spacing w:line="360" w:lineRule="auto"/>
        <w:ind w:firstLine="480" w:firstLineChars="200"/>
        <w:rPr>
          <w:sz w:val="24"/>
          <w:lang w:eastAsia="zh-CN"/>
        </w:rPr>
      </w:pPr>
      <w:r>
        <w:rPr>
          <w:rFonts w:hint="eastAsia"/>
          <w:sz w:val="24"/>
          <w:lang w:eastAsia="zh-CN"/>
        </w:rPr>
        <w:t>本基金投资银行存款时，基金管理人应当与存款银行签订具体存款协议，明确存款的类型、期限、利率、金额、账号、对账方式、支取方式、账户管理等细则。</w:t>
      </w:r>
    </w:p>
    <w:p w14:paraId="13668BAB">
      <w:pPr>
        <w:adjustRightInd w:val="0"/>
        <w:snapToGrid w:val="0"/>
        <w:spacing w:line="360" w:lineRule="auto"/>
        <w:ind w:firstLine="480" w:firstLineChars="200"/>
        <w:rPr>
          <w:sz w:val="24"/>
          <w:lang w:eastAsia="zh-CN"/>
        </w:rPr>
      </w:pPr>
      <w:r>
        <w:rPr>
          <w:rFonts w:hint="eastAsia"/>
          <w:sz w:val="24"/>
          <w:lang w:eastAsia="zh-CN"/>
        </w:rPr>
        <w:t>为防范特殊情况下的流动性风险，定期存款协议中应当约定提前支取条款。</w:t>
      </w:r>
    </w:p>
    <w:p w14:paraId="66245C95">
      <w:pPr>
        <w:adjustRightInd w:val="0"/>
        <w:snapToGrid w:val="0"/>
        <w:spacing w:line="360" w:lineRule="auto"/>
        <w:ind w:firstLine="480" w:firstLineChars="200"/>
        <w:rPr>
          <w:sz w:val="24"/>
          <w:lang w:eastAsia="zh-CN"/>
        </w:rPr>
      </w:pPr>
      <w:bookmarkStart w:id="151" w:name="_Toc382819086"/>
      <w:r>
        <w:rPr>
          <w:rFonts w:hint="eastAsia"/>
          <w:sz w:val="24"/>
          <w:lang w:eastAsia="zh-CN"/>
        </w:rPr>
        <w:t>基金所投资定期存款存续期间，基金管理人、基金托管人应当与存款银行建立定期对账机制，确保基金银行存款业务账目及核对的真实、准确。</w:t>
      </w:r>
      <w:bookmarkEnd w:id="151"/>
    </w:p>
    <w:p w14:paraId="6FAE5D96">
      <w:pPr>
        <w:adjustRightInd w:val="0"/>
        <w:snapToGrid w:val="0"/>
        <w:spacing w:line="360" w:lineRule="auto"/>
        <w:ind w:firstLine="480" w:firstLineChars="200"/>
        <w:rPr>
          <w:sz w:val="24"/>
          <w:lang w:eastAsia="zh-CN"/>
        </w:rPr>
      </w:pPr>
      <w:bookmarkStart w:id="152" w:name="_Toc382819087"/>
      <w:r>
        <w:rPr>
          <w:rFonts w:hint="eastAsia"/>
          <w:sz w:val="24"/>
          <w:lang w:eastAsia="zh-CN"/>
        </w:rPr>
        <w:t>（八）基金财产投资的有关实物证券、银行定期存款存单等有价凭证的保管</w:t>
      </w:r>
      <w:bookmarkEnd w:id="152"/>
    </w:p>
    <w:p w14:paraId="7DE9D9D6">
      <w:pPr>
        <w:adjustRightInd w:val="0"/>
        <w:snapToGrid w:val="0"/>
        <w:spacing w:line="360" w:lineRule="auto"/>
        <w:ind w:firstLine="480" w:firstLineChars="200"/>
        <w:rPr>
          <w:sz w:val="24"/>
          <w:lang w:eastAsia="zh-CN"/>
        </w:rPr>
      </w:pPr>
      <w:r>
        <w:rPr>
          <w:rFonts w:hint="eastAsia"/>
          <w:sz w:val="24"/>
          <w:lang w:eastAsia="zh-CN"/>
        </w:rPr>
        <w:t>基金财产投资的有关实物证券由基金托管人存放于基金托管人的保管库；其中实物证券也可存入中央国债登记结算有限责任公司、中国证券登记结算有限责任公司上海分公司/深圳分公司、银行间市场清算所股份有限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实物证券、银行定期存款存单对应的财产不承担保管责任。</w:t>
      </w:r>
    </w:p>
    <w:p w14:paraId="06ADCAB2">
      <w:pPr>
        <w:adjustRightInd w:val="0"/>
        <w:snapToGrid w:val="0"/>
        <w:spacing w:line="360" w:lineRule="auto"/>
        <w:ind w:firstLine="480" w:firstLineChars="200"/>
        <w:rPr>
          <w:sz w:val="24"/>
          <w:lang w:eastAsia="zh-CN"/>
        </w:rPr>
      </w:pPr>
      <w:r>
        <w:rPr>
          <w:rFonts w:hint="eastAsia"/>
          <w:sz w:val="24"/>
          <w:lang w:eastAsia="zh-CN"/>
        </w:rPr>
        <w:t>（九）与基金财产有关的重大合同的保管</w:t>
      </w:r>
    </w:p>
    <w:p w14:paraId="226475EF">
      <w:pPr>
        <w:adjustRightInd w:val="0"/>
        <w:snapToGrid w:val="0"/>
        <w:spacing w:line="360" w:lineRule="auto"/>
        <w:ind w:firstLine="480" w:firstLineChars="200"/>
        <w:rPr>
          <w:sz w:val="24"/>
          <w:lang w:eastAsia="zh-CN"/>
        </w:rPr>
      </w:pPr>
      <w:r>
        <w:rPr>
          <w:rFonts w:hint="eastAsia"/>
          <w:sz w:val="24"/>
          <w:lang w:eastAsia="zh-CN"/>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保存期限不低于法律法规规定的最低期限。</w:t>
      </w:r>
    </w:p>
    <w:p w14:paraId="4F736E27">
      <w:pPr>
        <w:adjustRightInd w:val="0"/>
        <w:snapToGrid w:val="0"/>
        <w:spacing w:line="360" w:lineRule="auto"/>
        <w:ind w:firstLine="480" w:firstLineChars="200"/>
        <w:rPr>
          <w:sz w:val="24"/>
          <w:lang w:eastAsia="zh-CN"/>
        </w:rPr>
      </w:pPr>
      <w:r>
        <w:rPr>
          <w:rFonts w:hint="eastAsia"/>
          <w:sz w:val="24"/>
          <w:lang w:eastAsia="zh-CN"/>
        </w:rPr>
        <w:t>对于无法取得二份以上的正本的，基金管理人应向基金托管人提供与合同原件核对一致的并加盖基金管理人公章的合同传真件或复印件，未经双方协商一致，合同原件不得转移。</w:t>
      </w:r>
    </w:p>
    <w:p w14:paraId="5E3E6978">
      <w:pPr>
        <w:adjustRightInd w:val="0"/>
        <w:snapToGrid w:val="0"/>
        <w:spacing w:line="360" w:lineRule="auto"/>
        <w:ind w:firstLine="480" w:firstLineChars="200"/>
        <w:rPr>
          <w:color w:val="000000"/>
          <w:sz w:val="24"/>
          <w:szCs w:val="24"/>
          <w:lang w:eastAsia="zh-CN"/>
        </w:rPr>
      </w:pPr>
      <w:r>
        <w:rPr>
          <w:rFonts w:hint="eastAsia"/>
          <w:color w:val="000000"/>
          <w:sz w:val="24"/>
          <w:szCs w:val="24"/>
          <w:lang w:eastAsia="zh-CN"/>
        </w:rPr>
        <w:t>五、</w:t>
      </w:r>
      <w:r>
        <w:rPr>
          <w:color w:val="000000"/>
          <w:sz w:val="24"/>
          <w:szCs w:val="24"/>
          <w:lang w:eastAsia="zh-CN"/>
        </w:rPr>
        <w:t>基金资产净值计算和会计核算</w:t>
      </w:r>
      <w:bookmarkEnd w:id="122"/>
    </w:p>
    <w:p w14:paraId="7DCFB063">
      <w:pPr>
        <w:adjustRightInd w:val="0"/>
        <w:snapToGrid w:val="0"/>
        <w:spacing w:line="360" w:lineRule="auto"/>
        <w:ind w:firstLine="480" w:firstLineChars="200"/>
        <w:rPr>
          <w:sz w:val="24"/>
          <w:lang w:eastAsia="zh-CN"/>
        </w:rPr>
      </w:pPr>
      <w:bookmarkStart w:id="153" w:name="_Toc382819104"/>
      <w:r>
        <w:rPr>
          <w:rFonts w:hint="eastAsia"/>
          <w:sz w:val="24"/>
          <w:lang w:eastAsia="zh-CN"/>
        </w:rPr>
        <w:t>（一）基金资产净值的计算、复核的时间和程序</w:t>
      </w:r>
      <w:bookmarkEnd w:id="153"/>
    </w:p>
    <w:p w14:paraId="7046D43C">
      <w:pPr>
        <w:adjustRightInd w:val="0"/>
        <w:snapToGrid w:val="0"/>
        <w:spacing w:line="360" w:lineRule="auto"/>
        <w:ind w:firstLine="480" w:firstLineChars="200"/>
        <w:rPr>
          <w:sz w:val="24"/>
          <w:lang w:eastAsia="zh-CN"/>
        </w:rPr>
      </w:pPr>
      <w:r>
        <w:rPr>
          <w:rFonts w:hint="eastAsia"/>
          <w:sz w:val="24"/>
          <w:lang w:eastAsia="zh-CN"/>
        </w:rPr>
        <w:t>基金资产净值是指基金资产总值减去基金负债后的价值。基金份额净值是指计算日基金资产净值除以计算日基金份额总数后的数值。基金份额净值的计算保留到小数点后4位，小数点后第5位四舍五入，由此产生的收益或损失由基金财产承担。</w:t>
      </w:r>
    </w:p>
    <w:p w14:paraId="33D91141">
      <w:pPr>
        <w:adjustRightInd w:val="0"/>
        <w:snapToGrid w:val="0"/>
        <w:spacing w:line="360" w:lineRule="auto"/>
        <w:ind w:firstLine="480" w:firstLineChars="200"/>
        <w:rPr>
          <w:sz w:val="24"/>
          <w:lang w:eastAsia="zh-CN"/>
        </w:rPr>
      </w:pPr>
      <w:r>
        <w:rPr>
          <w:rFonts w:hint="eastAsia"/>
          <w:sz w:val="24"/>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基金管理人应每个工作日对基金资产估值。但基金管理人根据法律法规或基金合同的规定暂停估值时除外。估值原则应符合《基金合同》、《证券投资基金会计核算业务指引》、《企业会计准则》及其他法律、法规的规定。基金管理人应于每个工作日交易结束后计算当日的基金份额净值和基金资产净值并以双方认可的方式发送给基金托管人。基金托管人对净值计算结果复核确认后以双方认可的方式发送给基金管理人，由基金管理人按约定对外公布。</w:t>
      </w:r>
    </w:p>
    <w:p w14:paraId="64787BBA">
      <w:pPr>
        <w:adjustRightInd w:val="0"/>
        <w:snapToGrid w:val="0"/>
        <w:spacing w:line="360" w:lineRule="auto"/>
        <w:ind w:firstLine="480" w:firstLineChars="200"/>
        <w:rPr>
          <w:sz w:val="24"/>
          <w:lang w:eastAsia="zh-CN"/>
        </w:rPr>
      </w:pPr>
      <w:r>
        <w:rPr>
          <w:rFonts w:hint="eastAsia"/>
          <w:sz w:val="24"/>
          <w:lang w:eastAsia="zh-CN"/>
        </w:rPr>
        <w:t>法律法规以及监管部门有强制规定的，从其规定。如有新增事项，按国家最新规定估值。</w:t>
      </w:r>
    </w:p>
    <w:p w14:paraId="14728463">
      <w:pPr>
        <w:adjustRightInd w:val="0"/>
        <w:snapToGrid w:val="0"/>
        <w:spacing w:line="360" w:lineRule="auto"/>
        <w:ind w:firstLine="480" w:firstLineChars="200"/>
        <w:rPr>
          <w:sz w:val="24"/>
          <w:lang w:eastAsia="zh-CN"/>
        </w:rPr>
      </w:pPr>
      <w:bookmarkStart w:id="154" w:name="_Toc382819105"/>
      <w:r>
        <w:rPr>
          <w:rFonts w:hint="eastAsia"/>
          <w:sz w:val="24"/>
          <w:lang w:eastAsia="zh-CN"/>
        </w:rPr>
        <w:t>（二）基金资产估值</w:t>
      </w:r>
      <w:bookmarkEnd w:id="154"/>
    </w:p>
    <w:p w14:paraId="24CCABBB">
      <w:pPr>
        <w:adjustRightInd w:val="0"/>
        <w:snapToGrid w:val="0"/>
        <w:spacing w:line="360" w:lineRule="auto"/>
        <w:ind w:firstLine="480" w:firstLineChars="200"/>
        <w:rPr>
          <w:sz w:val="24"/>
          <w:lang w:eastAsia="zh-CN"/>
        </w:rPr>
      </w:pPr>
      <w:bookmarkStart w:id="155" w:name="_Hlk113893049"/>
      <w:r>
        <w:rPr>
          <w:rFonts w:hint="eastAsia"/>
          <w:sz w:val="24"/>
          <w:lang w:eastAsia="zh-CN"/>
        </w:rPr>
        <w:t>1、估值对象</w:t>
      </w:r>
    </w:p>
    <w:p w14:paraId="43770811">
      <w:pPr>
        <w:adjustRightInd w:val="0"/>
        <w:snapToGrid w:val="0"/>
        <w:spacing w:line="360" w:lineRule="auto"/>
        <w:ind w:firstLine="480" w:firstLineChars="200"/>
        <w:rPr>
          <w:sz w:val="24"/>
          <w:lang w:eastAsia="zh-CN"/>
        </w:rPr>
      </w:pPr>
      <w:r>
        <w:rPr>
          <w:rFonts w:hint="eastAsia"/>
          <w:sz w:val="24"/>
          <w:lang w:eastAsia="zh-CN"/>
        </w:rPr>
        <w:t>基金所拥有的债券、银行存款本息、应收款项、其它投资等资产及负债。</w:t>
      </w:r>
    </w:p>
    <w:p w14:paraId="79D8A5D6">
      <w:pPr>
        <w:adjustRightInd w:val="0"/>
        <w:snapToGrid w:val="0"/>
        <w:spacing w:line="360" w:lineRule="auto"/>
        <w:ind w:firstLine="480" w:firstLineChars="200"/>
        <w:rPr>
          <w:sz w:val="24"/>
          <w:lang w:eastAsia="zh-CN"/>
        </w:rPr>
      </w:pPr>
      <w:r>
        <w:rPr>
          <w:rFonts w:hint="eastAsia"/>
          <w:sz w:val="24"/>
          <w:lang w:eastAsia="zh-CN"/>
        </w:rPr>
        <w:t>2、估值方法</w:t>
      </w:r>
    </w:p>
    <w:p w14:paraId="3F700D30">
      <w:pPr>
        <w:adjustRightInd w:val="0"/>
        <w:snapToGrid w:val="0"/>
        <w:spacing w:line="360" w:lineRule="auto"/>
        <w:ind w:firstLine="480" w:firstLineChars="200"/>
        <w:rPr>
          <w:sz w:val="24"/>
          <w:lang w:eastAsia="zh-CN"/>
        </w:rPr>
      </w:pPr>
      <w:bookmarkStart w:id="156" w:name="_Hlk113649781"/>
      <w:r>
        <w:rPr>
          <w:rFonts w:hint="eastAsia"/>
          <w:sz w:val="24"/>
          <w:lang w:eastAsia="zh-CN"/>
        </w:rPr>
        <w:t>1）证券交易所上市的有价证券的估值</w:t>
      </w:r>
    </w:p>
    <w:p w14:paraId="18A98DC1">
      <w:pPr>
        <w:adjustRightInd w:val="0"/>
        <w:snapToGrid w:val="0"/>
        <w:spacing w:line="360" w:lineRule="auto"/>
        <w:ind w:firstLine="480" w:firstLineChars="200"/>
        <w:rPr>
          <w:sz w:val="24"/>
          <w:lang w:eastAsia="zh-CN"/>
        </w:rPr>
      </w:pPr>
      <w:r>
        <w:rPr>
          <w:rFonts w:hint="eastAsia"/>
          <w:sz w:val="24"/>
          <w:lang w:eastAsia="zh-CN"/>
        </w:rPr>
        <w:t>（1）除本部分另有约定的品种外，交易所上市的有价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7F9BF17">
      <w:pPr>
        <w:adjustRightInd w:val="0"/>
        <w:snapToGrid w:val="0"/>
        <w:spacing w:line="360" w:lineRule="auto"/>
        <w:ind w:firstLine="480" w:firstLineChars="200"/>
        <w:rPr>
          <w:sz w:val="24"/>
          <w:lang w:eastAsia="zh-CN"/>
        </w:rPr>
      </w:pPr>
      <w:r>
        <w:rPr>
          <w:rFonts w:hint="eastAsia"/>
          <w:sz w:val="24"/>
          <w:lang w:eastAsia="zh-CN"/>
        </w:rPr>
        <w:t>（2）交易所上市交易或挂牌转让的不含权固定收益品种，选取估值日第三方估值机构提供的相应品种当日的估值净价进行估值；</w:t>
      </w:r>
    </w:p>
    <w:p w14:paraId="0919C38B">
      <w:pPr>
        <w:adjustRightInd w:val="0"/>
        <w:snapToGrid w:val="0"/>
        <w:spacing w:line="360" w:lineRule="auto"/>
        <w:ind w:firstLine="480" w:firstLineChars="200"/>
        <w:rPr>
          <w:sz w:val="24"/>
          <w:lang w:eastAsia="zh-CN"/>
        </w:rPr>
      </w:pPr>
      <w:r>
        <w:rPr>
          <w:rFonts w:hint="eastAsia"/>
          <w:sz w:val="24"/>
          <w:lang w:eastAsia="zh-CN"/>
        </w:rPr>
        <w:t>（3）交易所上市交易或挂牌转让的含权固定收益品种，选取估值日第三方估值机构提供的相应品种当日的唯一估值净价或推荐估值净价进行估值；</w:t>
      </w:r>
    </w:p>
    <w:p w14:paraId="79831259">
      <w:pPr>
        <w:adjustRightInd w:val="0"/>
        <w:snapToGrid w:val="0"/>
        <w:spacing w:line="360" w:lineRule="auto"/>
        <w:ind w:firstLine="480" w:firstLineChars="200"/>
        <w:rPr>
          <w:sz w:val="24"/>
          <w:lang w:eastAsia="zh-CN"/>
        </w:rPr>
      </w:pPr>
      <w:r>
        <w:rPr>
          <w:rFonts w:hint="eastAsia"/>
          <w:sz w:val="24"/>
          <w:lang w:eastAsia="zh-CN"/>
        </w:rPr>
        <w:t>（4）交易所上市不存在活跃市场的有价证券，采用估值技术确定公允价值；</w:t>
      </w:r>
    </w:p>
    <w:p w14:paraId="4F10AAF4">
      <w:pPr>
        <w:adjustRightInd w:val="0"/>
        <w:snapToGrid w:val="0"/>
        <w:spacing w:line="360" w:lineRule="auto"/>
        <w:ind w:firstLine="480" w:firstLineChars="200"/>
        <w:rPr>
          <w:sz w:val="24"/>
          <w:lang w:eastAsia="zh-CN"/>
        </w:rPr>
      </w:pPr>
      <w:r>
        <w:rPr>
          <w:rFonts w:hint="eastAsia"/>
          <w:sz w:val="24"/>
          <w:lang w:eastAsia="zh-CN"/>
        </w:rPr>
        <w:t>（5）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1F45766A">
      <w:pPr>
        <w:adjustRightInd w:val="0"/>
        <w:snapToGrid w:val="0"/>
        <w:spacing w:line="360" w:lineRule="auto"/>
        <w:ind w:firstLine="480" w:firstLineChars="200"/>
        <w:rPr>
          <w:sz w:val="24"/>
          <w:lang w:eastAsia="zh-CN"/>
        </w:rPr>
      </w:pPr>
      <w:r>
        <w:rPr>
          <w:rFonts w:hint="eastAsia"/>
          <w:sz w:val="24"/>
          <w:lang w:eastAsia="zh-CN"/>
        </w:rPr>
        <w:t>2）首次公开发行未上市的债券，采用估值技术确定公允价值，在估值技术难以可靠计量公允价值的情况下，按成本估值。</w:t>
      </w:r>
    </w:p>
    <w:p w14:paraId="3865C89C">
      <w:pPr>
        <w:adjustRightInd w:val="0"/>
        <w:snapToGrid w:val="0"/>
        <w:spacing w:line="360" w:lineRule="auto"/>
        <w:ind w:firstLine="480" w:firstLineChars="200"/>
        <w:rPr>
          <w:sz w:val="24"/>
          <w:lang w:eastAsia="zh-CN"/>
        </w:rPr>
      </w:pPr>
      <w:r>
        <w:rPr>
          <w:rFonts w:hint="eastAsia"/>
          <w:sz w:val="24"/>
          <w:lang w:eastAsia="zh-CN"/>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034DA894">
      <w:pPr>
        <w:adjustRightInd w:val="0"/>
        <w:snapToGrid w:val="0"/>
        <w:spacing w:line="360" w:lineRule="auto"/>
        <w:ind w:firstLine="480" w:firstLineChars="200"/>
        <w:rPr>
          <w:sz w:val="24"/>
          <w:lang w:eastAsia="zh-CN"/>
        </w:rPr>
      </w:pPr>
      <w:r>
        <w:rPr>
          <w:rFonts w:hint="eastAsia"/>
          <w:sz w:val="24"/>
          <w:lang w:eastAsia="zh-CN"/>
        </w:rPr>
        <w:t>4）同一债券同时在两个或两个以上市场交易的，按债券所处的市场分别估值。</w:t>
      </w:r>
    </w:p>
    <w:p w14:paraId="25095D37">
      <w:pPr>
        <w:adjustRightInd w:val="0"/>
        <w:snapToGrid w:val="0"/>
        <w:spacing w:line="360" w:lineRule="auto"/>
        <w:ind w:firstLine="480" w:firstLineChars="200"/>
        <w:rPr>
          <w:sz w:val="24"/>
          <w:lang w:eastAsia="zh-CN"/>
        </w:rPr>
      </w:pPr>
      <w:r>
        <w:rPr>
          <w:rFonts w:hint="eastAsia"/>
          <w:sz w:val="24"/>
          <w:lang w:eastAsia="zh-CN"/>
        </w:rPr>
        <w:t>5）基金投资同业存单，按估值日第三方估值机构提供的估值净价估值；选定的第三方估值机构未提供估值价格的，按成本估值。</w:t>
      </w:r>
    </w:p>
    <w:p w14:paraId="421E6674">
      <w:pPr>
        <w:adjustRightInd w:val="0"/>
        <w:snapToGrid w:val="0"/>
        <w:spacing w:line="360" w:lineRule="auto"/>
        <w:ind w:firstLine="480" w:firstLineChars="200"/>
        <w:rPr>
          <w:sz w:val="24"/>
          <w:lang w:eastAsia="zh-CN"/>
        </w:rPr>
      </w:pPr>
      <w:r>
        <w:rPr>
          <w:rFonts w:hint="eastAsia"/>
          <w:sz w:val="24"/>
          <w:lang w:eastAsia="zh-CN"/>
        </w:rPr>
        <w:t>6）本基金持有的回购以成本列示，按合同利率在回购期间内逐日计提应收或应付利息。</w:t>
      </w:r>
    </w:p>
    <w:p w14:paraId="6D860558">
      <w:pPr>
        <w:adjustRightInd w:val="0"/>
        <w:snapToGrid w:val="0"/>
        <w:spacing w:line="360" w:lineRule="auto"/>
        <w:ind w:firstLine="480" w:firstLineChars="200"/>
        <w:rPr>
          <w:sz w:val="24"/>
          <w:lang w:eastAsia="zh-CN"/>
        </w:rPr>
      </w:pPr>
      <w:r>
        <w:rPr>
          <w:rFonts w:hint="eastAsia"/>
          <w:sz w:val="24"/>
          <w:lang w:eastAsia="zh-CN"/>
        </w:rPr>
        <w:t>7）本基金持有的银行存款和备付金余额以本金列示，按相应利率逐日计提利息。</w:t>
      </w:r>
    </w:p>
    <w:p w14:paraId="592B2AD5">
      <w:pPr>
        <w:adjustRightInd w:val="0"/>
        <w:snapToGrid w:val="0"/>
        <w:spacing w:line="360" w:lineRule="auto"/>
        <w:ind w:firstLine="480" w:firstLineChars="200"/>
        <w:rPr>
          <w:sz w:val="24"/>
          <w:lang w:eastAsia="zh-CN"/>
        </w:rPr>
      </w:pPr>
      <w:r>
        <w:rPr>
          <w:rFonts w:hint="eastAsia"/>
          <w:sz w:val="24"/>
          <w:lang w:eastAsia="zh-CN"/>
        </w:rPr>
        <w:t>8）如有确凿证据表明按上述方法进行估值不能客观反映其公允价值的，基金管理人可根据具体情况与基金托管人商定后，按最能反映公允价值的价格估值。</w:t>
      </w:r>
    </w:p>
    <w:p w14:paraId="4B22F471">
      <w:pPr>
        <w:adjustRightInd w:val="0"/>
        <w:snapToGrid w:val="0"/>
        <w:spacing w:line="360" w:lineRule="auto"/>
        <w:ind w:firstLine="480" w:firstLineChars="200"/>
        <w:rPr>
          <w:sz w:val="24"/>
          <w:lang w:eastAsia="zh-CN"/>
        </w:rPr>
      </w:pPr>
      <w:r>
        <w:rPr>
          <w:rFonts w:hint="eastAsia"/>
          <w:sz w:val="24"/>
          <w:lang w:eastAsia="zh-CN"/>
        </w:rPr>
        <w:t>9）当发生大额申购或赎回情形时，基金管理人可以采用摆动定价机制，以确保基金估值的公平性。</w:t>
      </w:r>
    </w:p>
    <w:p w14:paraId="66A55BFD">
      <w:pPr>
        <w:adjustRightInd w:val="0"/>
        <w:snapToGrid w:val="0"/>
        <w:spacing w:line="360" w:lineRule="auto"/>
        <w:ind w:firstLine="480" w:firstLineChars="200"/>
        <w:rPr>
          <w:sz w:val="24"/>
          <w:lang w:eastAsia="zh-CN"/>
        </w:rPr>
      </w:pPr>
      <w:r>
        <w:rPr>
          <w:rFonts w:hint="eastAsia"/>
          <w:sz w:val="24"/>
          <w:lang w:eastAsia="zh-CN"/>
        </w:rPr>
        <w:t>10）相关法律法规以及监管部门有强制规定的，从其规定。如有新增事项，按国家最新规定估值。</w:t>
      </w:r>
    </w:p>
    <w:p w14:paraId="0848CECD">
      <w:pPr>
        <w:adjustRightInd w:val="0"/>
        <w:snapToGrid w:val="0"/>
        <w:spacing w:line="360" w:lineRule="auto"/>
        <w:ind w:firstLine="480" w:firstLineChars="200"/>
        <w:rPr>
          <w:sz w:val="24"/>
          <w:lang w:eastAsia="zh-CN"/>
        </w:rPr>
      </w:pPr>
      <w:r>
        <w:rPr>
          <w:rFonts w:hint="eastAsia"/>
          <w:sz w:val="24"/>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14:paraId="2C873E57">
      <w:pPr>
        <w:adjustRightInd w:val="0"/>
        <w:snapToGrid w:val="0"/>
        <w:spacing w:line="360" w:lineRule="auto"/>
        <w:ind w:firstLine="480" w:firstLineChars="200"/>
        <w:rPr>
          <w:sz w:val="24"/>
          <w:lang w:eastAsia="zh-CN"/>
        </w:rPr>
      </w:pPr>
      <w:r>
        <w:rPr>
          <w:rFonts w:hint="eastAsia"/>
          <w:sz w:val="24"/>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7956A929">
      <w:pPr>
        <w:adjustRightInd w:val="0"/>
        <w:snapToGrid w:val="0"/>
        <w:spacing w:line="360" w:lineRule="auto"/>
        <w:ind w:firstLine="480" w:firstLineChars="200"/>
        <w:rPr>
          <w:sz w:val="24"/>
          <w:lang w:eastAsia="zh-CN"/>
        </w:rPr>
      </w:pPr>
      <w:r>
        <w:rPr>
          <w:rFonts w:hint="eastAsia"/>
          <w:sz w:val="24"/>
          <w:lang w:eastAsia="zh-CN"/>
        </w:rPr>
        <w:t>3、特殊情形的处理</w:t>
      </w:r>
    </w:p>
    <w:p w14:paraId="45163AD9">
      <w:pPr>
        <w:adjustRightInd w:val="0"/>
        <w:snapToGrid w:val="0"/>
        <w:spacing w:line="360" w:lineRule="auto"/>
        <w:ind w:firstLine="480" w:firstLineChars="200"/>
        <w:rPr>
          <w:sz w:val="24"/>
          <w:lang w:eastAsia="zh-CN"/>
        </w:rPr>
      </w:pPr>
      <w:r>
        <w:rPr>
          <w:rFonts w:hint="eastAsia"/>
          <w:sz w:val="24"/>
          <w:lang w:eastAsia="zh-CN"/>
        </w:rPr>
        <w:t>（1）基金管理人或基金托管人按估值方法的第8）项进行估值时，所造成的误差不作为基金资产估值错误处理。</w:t>
      </w:r>
    </w:p>
    <w:p w14:paraId="1F8DA9B6">
      <w:pPr>
        <w:adjustRightInd w:val="0"/>
        <w:snapToGrid w:val="0"/>
        <w:spacing w:line="360" w:lineRule="auto"/>
        <w:ind w:firstLine="480" w:firstLineChars="200"/>
        <w:rPr>
          <w:sz w:val="24"/>
          <w:lang w:eastAsia="zh-CN"/>
        </w:rPr>
      </w:pPr>
      <w:r>
        <w:rPr>
          <w:rFonts w:hint="eastAsia"/>
          <w:sz w:val="24"/>
          <w:lang w:eastAsia="zh-CN"/>
        </w:rPr>
        <w:t>（2）由于不可抗力原因，或证券交易所、登记机构及存款银行等第三方结算公司等机构发送的数据错误等非基金管理人与基金托管人原因，基金管理人和基金托管人虽然已经采取必要、适当、合理的措施进行检查，但是未能发现该错误的，由此造成的基金财产估值错误，基金管理人和基金托管人免除赔偿责任。但基金管理人和基金托管人应当积极采取必要的措施减轻或消除由此造成的影响。</w:t>
      </w:r>
    </w:p>
    <w:bookmarkEnd w:id="155"/>
    <w:bookmarkEnd w:id="156"/>
    <w:p w14:paraId="2C7EE8C2">
      <w:pPr>
        <w:adjustRightInd w:val="0"/>
        <w:snapToGrid w:val="0"/>
        <w:spacing w:line="360" w:lineRule="auto"/>
        <w:ind w:firstLine="480" w:firstLineChars="200"/>
        <w:rPr>
          <w:sz w:val="24"/>
          <w:lang w:eastAsia="zh-CN"/>
        </w:rPr>
      </w:pPr>
      <w:r>
        <w:rPr>
          <w:rFonts w:hint="eastAsia"/>
          <w:sz w:val="24"/>
          <w:lang w:eastAsia="zh-CN"/>
        </w:rPr>
        <w:t>（三）实施侧袋机制期间的基金资产估值</w:t>
      </w:r>
    </w:p>
    <w:p w14:paraId="184D607C">
      <w:pPr>
        <w:adjustRightInd w:val="0"/>
        <w:snapToGrid w:val="0"/>
        <w:spacing w:line="360" w:lineRule="auto"/>
        <w:ind w:firstLine="480" w:firstLineChars="200"/>
        <w:rPr>
          <w:sz w:val="24"/>
          <w:lang w:eastAsia="zh-CN"/>
        </w:rPr>
      </w:pPr>
      <w:r>
        <w:rPr>
          <w:rFonts w:hint="eastAsia"/>
          <w:sz w:val="24"/>
          <w:lang w:eastAsia="zh-CN"/>
        </w:rPr>
        <w:t>本基金实施侧袋机制的，应根据基金合同的约定对主袋账户资产进行估值并披露主袋账户的基金净值信息，暂停披露侧袋账户份额净值。</w:t>
      </w:r>
    </w:p>
    <w:p w14:paraId="62717B0F">
      <w:pPr>
        <w:adjustRightInd w:val="0"/>
        <w:snapToGrid w:val="0"/>
        <w:spacing w:line="360" w:lineRule="auto"/>
        <w:ind w:firstLine="480" w:firstLineChars="200"/>
        <w:rPr>
          <w:sz w:val="24"/>
          <w:lang w:eastAsia="zh-CN"/>
        </w:rPr>
      </w:pPr>
      <w:bookmarkStart w:id="157" w:name="_Toc382819106"/>
      <w:r>
        <w:rPr>
          <w:rFonts w:hint="eastAsia"/>
          <w:sz w:val="24"/>
          <w:lang w:eastAsia="zh-CN"/>
        </w:rPr>
        <w:t>（四）估值错误处理</w:t>
      </w:r>
      <w:bookmarkEnd w:id="157"/>
    </w:p>
    <w:p w14:paraId="71A646A0">
      <w:pPr>
        <w:adjustRightInd w:val="0"/>
        <w:snapToGrid w:val="0"/>
        <w:spacing w:line="360" w:lineRule="auto"/>
        <w:ind w:firstLine="480" w:firstLineChars="200"/>
        <w:rPr>
          <w:sz w:val="24"/>
          <w:lang w:eastAsia="zh-CN"/>
        </w:rPr>
      </w:pPr>
      <w:bookmarkStart w:id="158" w:name="_Toc382819107"/>
      <w:bookmarkStart w:id="159" w:name="_Hlk113893158"/>
      <w:r>
        <w:rPr>
          <w:rFonts w:hint="eastAsia"/>
          <w:sz w:val="24"/>
          <w:lang w:eastAsia="zh-CN"/>
        </w:rPr>
        <w:t>基金管理人和基金托管人将采取必要、适当、合理的措施确保基金资产估值的准确性、及时性。当基金份额净值小数点后4位以内（含第4位）发生估值错误时，视为基金份额净值错误。</w:t>
      </w:r>
    </w:p>
    <w:p w14:paraId="6C7D8920">
      <w:pPr>
        <w:adjustRightInd w:val="0"/>
        <w:snapToGrid w:val="0"/>
        <w:spacing w:line="360" w:lineRule="auto"/>
        <w:ind w:firstLine="480" w:firstLineChars="200"/>
        <w:rPr>
          <w:sz w:val="24"/>
          <w:lang w:eastAsia="zh-CN"/>
        </w:rPr>
      </w:pPr>
      <w:r>
        <w:rPr>
          <w:rFonts w:hint="eastAsia"/>
          <w:sz w:val="24"/>
          <w:lang w:eastAsia="zh-CN"/>
        </w:rPr>
        <w:t>基金合同的当事人应按照以下约定处理：</w:t>
      </w:r>
    </w:p>
    <w:p w14:paraId="3E56D470">
      <w:pPr>
        <w:adjustRightInd w:val="0"/>
        <w:snapToGrid w:val="0"/>
        <w:spacing w:line="360" w:lineRule="auto"/>
        <w:ind w:firstLine="480" w:firstLineChars="200"/>
        <w:rPr>
          <w:sz w:val="24"/>
          <w:lang w:eastAsia="zh-CN"/>
        </w:rPr>
      </w:pPr>
      <w:bookmarkStart w:id="160" w:name="_Hlk113650135"/>
      <w:r>
        <w:rPr>
          <w:rFonts w:hint="eastAsia"/>
          <w:sz w:val="24"/>
          <w:lang w:eastAsia="zh-CN"/>
        </w:rPr>
        <w:t>1、估值错误类型</w:t>
      </w:r>
    </w:p>
    <w:p w14:paraId="5E4446B0">
      <w:pPr>
        <w:adjustRightInd w:val="0"/>
        <w:snapToGrid w:val="0"/>
        <w:spacing w:line="360" w:lineRule="auto"/>
        <w:ind w:firstLine="480" w:firstLineChars="200"/>
        <w:rPr>
          <w:sz w:val="24"/>
          <w:lang w:eastAsia="zh-CN"/>
        </w:rPr>
      </w:pPr>
      <w:r>
        <w:rPr>
          <w:rFonts w:hint="eastAsia"/>
          <w:sz w:val="24"/>
          <w:lang w:eastAsia="zh-CN"/>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32B0A73C">
      <w:pPr>
        <w:adjustRightInd w:val="0"/>
        <w:snapToGrid w:val="0"/>
        <w:spacing w:line="360" w:lineRule="auto"/>
        <w:ind w:firstLine="480" w:firstLineChars="200"/>
        <w:rPr>
          <w:sz w:val="24"/>
          <w:lang w:eastAsia="zh-CN"/>
        </w:rPr>
      </w:pPr>
      <w:r>
        <w:rPr>
          <w:rFonts w:hint="eastAsia"/>
          <w:sz w:val="24"/>
          <w:lang w:eastAsia="zh-CN"/>
        </w:rPr>
        <w:t>上述估值错误的主要类型包括但不限于：资料申报差错、数据传输差错、数据计算差错、系统故障差错、下达指令差错等。</w:t>
      </w:r>
    </w:p>
    <w:p w14:paraId="0F34E1E5">
      <w:pPr>
        <w:adjustRightInd w:val="0"/>
        <w:snapToGrid w:val="0"/>
        <w:spacing w:line="360" w:lineRule="auto"/>
        <w:ind w:firstLine="480" w:firstLineChars="200"/>
        <w:rPr>
          <w:sz w:val="24"/>
          <w:lang w:eastAsia="zh-CN"/>
        </w:rPr>
      </w:pPr>
      <w:r>
        <w:rPr>
          <w:rFonts w:hint="eastAsia"/>
          <w:sz w:val="24"/>
          <w:lang w:eastAsia="zh-CN"/>
        </w:rPr>
        <w:t>2、估值错误处理原则</w:t>
      </w:r>
    </w:p>
    <w:p w14:paraId="41146183">
      <w:pPr>
        <w:adjustRightInd w:val="0"/>
        <w:snapToGrid w:val="0"/>
        <w:spacing w:line="360" w:lineRule="auto"/>
        <w:ind w:firstLine="480" w:firstLineChars="200"/>
        <w:rPr>
          <w:sz w:val="24"/>
          <w:lang w:eastAsia="zh-CN"/>
        </w:rPr>
      </w:pPr>
      <w:r>
        <w:rPr>
          <w:rFonts w:hint="eastAsia"/>
          <w:sz w:val="24"/>
          <w:lang w:eastAsia="zh-CN"/>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4F042B1A">
      <w:pPr>
        <w:adjustRightInd w:val="0"/>
        <w:snapToGrid w:val="0"/>
        <w:spacing w:line="360" w:lineRule="auto"/>
        <w:ind w:firstLine="480" w:firstLineChars="200"/>
        <w:rPr>
          <w:sz w:val="24"/>
          <w:lang w:eastAsia="zh-CN"/>
        </w:rPr>
      </w:pPr>
      <w:r>
        <w:rPr>
          <w:rFonts w:hint="eastAsia"/>
          <w:sz w:val="24"/>
          <w:lang w:eastAsia="zh-CN"/>
        </w:rPr>
        <w:t>（2）估值错误的责任方对有关当事人的直接损失负责，不对间接损失负责，并且仅对估值错误的有关直接当事人负责，不对第三方负责。</w:t>
      </w:r>
    </w:p>
    <w:p w14:paraId="080B0CA2">
      <w:pPr>
        <w:adjustRightInd w:val="0"/>
        <w:snapToGrid w:val="0"/>
        <w:spacing w:line="360" w:lineRule="auto"/>
        <w:ind w:firstLine="480" w:firstLineChars="200"/>
        <w:rPr>
          <w:sz w:val="24"/>
          <w:lang w:eastAsia="zh-CN"/>
        </w:rPr>
      </w:pPr>
      <w:r>
        <w:rPr>
          <w:rFonts w:hint="eastAsia"/>
          <w:sz w:val="24"/>
          <w:lang w:eastAsia="zh-CN"/>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4835AFA5">
      <w:pPr>
        <w:adjustRightInd w:val="0"/>
        <w:snapToGrid w:val="0"/>
        <w:spacing w:line="360" w:lineRule="auto"/>
        <w:ind w:firstLine="480" w:firstLineChars="200"/>
        <w:rPr>
          <w:sz w:val="24"/>
          <w:lang w:eastAsia="zh-CN"/>
        </w:rPr>
      </w:pPr>
      <w:r>
        <w:rPr>
          <w:rFonts w:hint="eastAsia"/>
          <w:sz w:val="24"/>
          <w:lang w:eastAsia="zh-CN"/>
        </w:rPr>
        <w:t>（4）估值错误调整采用尽量恢复至假设未发生估值错误的正确情形的方式。</w:t>
      </w:r>
    </w:p>
    <w:p w14:paraId="2A3D8921">
      <w:pPr>
        <w:adjustRightInd w:val="0"/>
        <w:snapToGrid w:val="0"/>
        <w:spacing w:line="360" w:lineRule="auto"/>
        <w:ind w:firstLine="480" w:firstLineChars="200"/>
        <w:rPr>
          <w:sz w:val="24"/>
          <w:lang w:eastAsia="zh-CN"/>
        </w:rPr>
      </w:pPr>
      <w:r>
        <w:rPr>
          <w:rFonts w:hint="eastAsia"/>
          <w:sz w:val="24"/>
          <w:lang w:eastAsia="zh-CN"/>
        </w:rPr>
        <w:t>（5）按法律法规规定的其他原则处理差错。</w:t>
      </w:r>
    </w:p>
    <w:p w14:paraId="28A64E1B">
      <w:pPr>
        <w:adjustRightInd w:val="0"/>
        <w:snapToGrid w:val="0"/>
        <w:spacing w:line="360" w:lineRule="auto"/>
        <w:ind w:firstLine="480" w:firstLineChars="200"/>
        <w:rPr>
          <w:sz w:val="24"/>
          <w:lang w:eastAsia="zh-CN"/>
        </w:rPr>
      </w:pPr>
      <w:r>
        <w:rPr>
          <w:rFonts w:hint="eastAsia"/>
          <w:sz w:val="24"/>
          <w:lang w:eastAsia="zh-CN"/>
        </w:rPr>
        <w:t>3、估值错误处理程序</w:t>
      </w:r>
    </w:p>
    <w:p w14:paraId="15F08827">
      <w:pPr>
        <w:adjustRightInd w:val="0"/>
        <w:snapToGrid w:val="0"/>
        <w:spacing w:line="360" w:lineRule="auto"/>
        <w:ind w:firstLine="480" w:firstLineChars="200"/>
        <w:rPr>
          <w:sz w:val="24"/>
          <w:lang w:eastAsia="zh-CN"/>
        </w:rPr>
      </w:pPr>
      <w:r>
        <w:rPr>
          <w:rFonts w:hint="eastAsia"/>
          <w:sz w:val="24"/>
          <w:lang w:eastAsia="zh-CN"/>
        </w:rPr>
        <w:t>估值错误被发现后，有关的当事人应当及时进行处理，处理的程序如下：</w:t>
      </w:r>
    </w:p>
    <w:p w14:paraId="1165D891">
      <w:pPr>
        <w:adjustRightInd w:val="0"/>
        <w:snapToGrid w:val="0"/>
        <w:spacing w:line="360" w:lineRule="auto"/>
        <w:ind w:firstLine="480" w:firstLineChars="200"/>
        <w:rPr>
          <w:sz w:val="24"/>
          <w:lang w:eastAsia="zh-CN"/>
        </w:rPr>
      </w:pPr>
      <w:r>
        <w:rPr>
          <w:rFonts w:hint="eastAsia"/>
          <w:sz w:val="24"/>
          <w:lang w:eastAsia="zh-CN"/>
        </w:rPr>
        <w:t>（1）查明估值错误发生的原因，列明所有的当事人，并根据估值错误发生的原因确定估值错误的责任方；</w:t>
      </w:r>
    </w:p>
    <w:p w14:paraId="497CF75C">
      <w:pPr>
        <w:adjustRightInd w:val="0"/>
        <w:snapToGrid w:val="0"/>
        <w:spacing w:line="360" w:lineRule="auto"/>
        <w:ind w:firstLine="480" w:firstLineChars="200"/>
        <w:rPr>
          <w:sz w:val="24"/>
          <w:lang w:eastAsia="zh-CN"/>
        </w:rPr>
      </w:pPr>
      <w:r>
        <w:rPr>
          <w:rFonts w:hint="eastAsia"/>
          <w:sz w:val="24"/>
          <w:lang w:eastAsia="zh-CN"/>
        </w:rPr>
        <w:t>（2）根据估值错误处理原则或当事人协商的方法对因估值错误造成的损失进行评估；</w:t>
      </w:r>
    </w:p>
    <w:p w14:paraId="269B2C75">
      <w:pPr>
        <w:adjustRightInd w:val="0"/>
        <w:snapToGrid w:val="0"/>
        <w:spacing w:line="360" w:lineRule="auto"/>
        <w:ind w:firstLine="480" w:firstLineChars="200"/>
        <w:rPr>
          <w:sz w:val="24"/>
          <w:lang w:eastAsia="zh-CN"/>
        </w:rPr>
      </w:pPr>
      <w:r>
        <w:rPr>
          <w:rFonts w:hint="eastAsia"/>
          <w:sz w:val="24"/>
          <w:lang w:eastAsia="zh-CN"/>
        </w:rPr>
        <w:t>（3）根据估值错误处理原则或当事人协商的方法由估值错误的责任方进行更正和赔偿损失；</w:t>
      </w:r>
    </w:p>
    <w:p w14:paraId="5F4EF127">
      <w:pPr>
        <w:adjustRightInd w:val="0"/>
        <w:snapToGrid w:val="0"/>
        <w:spacing w:line="360" w:lineRule="auto"/>
        <w:ind w:firstLine="480" w:firstLineChars="200"/>
        <w:rPr>
          <w:sz w:val="24"/>
          <w:lang w:eastAsia="zh-CN"/>
        </w:rPr>
      </w:pPr>
      <w:r>
        <w:rPr>
          <w:rFonts w:hint="eastAsia"/>
          <w:sz w:val="24"/>
          <w:lang w:eastAsia="zh-CN"/>
        </w:rPr>
        <w:t>（4）根据估值错误处理的方法，需要修改基金登记机构交易数据的，由基金登记机构进行更正，并就估值错误的更正向有关当事人进行确认。</w:t>
      </w:r>
    </w:p>
    <w:p w14:paraId="2A6C9DE9">
      <w:pPr>
        <w:adjustRightInd w:val="0"/>
        <w:snapToGrid w:val="0"/>
        <w:spacing w:line="360" w:lineRule="auto"/>
        <w:ind w:firstLine="480" w:firstLineChars="200"/>
        <w:rPr>
          <w:sz w:val="24"/>
          <w:lang w:eastAsia="zh-CN"/>
        </w:rPr>
      </w:pPr>
      <w:r>
        <w:rPr>
          <w:rFonts w:hint="eastAsia"/>
          <w:sz w:val="24"/>
          <w:lang w:eastAsia="zh-CN"/>
        </w:rPr>
        <w:t>4、基金份额净值估值错误处理的方法如下：</w:t>
      </w:r>
    </w:p>
    <w:p w14:paraId="7914C334">
      <w:pPr>
        <w:adjustRightInd w:val="0"/>
        <w:snapToGrid w:val="0"/>
        <w:spacing w:line="360" w:lineRule="auto"/>
        <w:ind w:firstLine="480" w:firstLineChars="200"/>
        <w:rPr>
          <w:sz w:val="24"/>
          <w:lang w:eastAsia="zh-CN"/>
        </w:rPr>
      </w:pPr>
      <w:r>
        <w:rPr>
          <w:rFonts w:hint="eastAsia"/>
          <w:sz w:val="24"/>
          <w:lang w:eastAsia="zh-CN"/>
        </w:rPr>
        <w:t>（1）基金份额净值计算出现错误时，基金管理人应当立即予以纠正，通报基金托管人，并采取合理的措施防止损失进一步扩大。</w:t>
      </w:r>
    </w:p>
    <w:p w14:paraId="5EF2AD41">
      <w:pPr>
        <w:adjustRightInd w:val="0"/>
        <w:snapToGrid w:val="0"/>
        <w:spacing w:line="360" w:lineRule="auto"/>
        <w:ind w:firstLine="480" w:firstLineChars="200"/>
        <w:rPr>
          <w:sz w:val="24"/>
          <w:lang w:eastAsia="zh-CN"/>
        </w:rPr>
      </w:pPr>
      <w:r>
        <w:rPr>
          <w:rFonts w:hint="eastAsia"/>
          <w:sz w:val="24"/>
          <w:lang w:eastAsia="zh-CN"/>
        </w:rPr>
        <w:t>（2）错误偏差达到基金份额净值的0.25%时，基金管理人应当通报基金托管人并报中国证监会备案；错误偏差达到基金份额净值的0.5%时，基金管理人应当公告，并报中国证监会备案。</w:t>
      </w:r>
    </w:p>
    <w:p w14:paraId="4E65DF08">
      <w:pPr>
        <w:adjustRightInd w:val="0"/>
        <w:snapToGrid w:val="0"/>
        <w:spacing w:line="360" w:lineRule="auto"/>
        <w:ind w:firstLine="480" w:firstLineChars="200"/>
        <w:rPr>
          <w:sz w:val="24"/>
          <w:lang w:eastAsia="zh-CN"/>
        </w:rPr>
      </w:pPr>
      <w:r>
        <w:rPr>
          <w:rFonts w:hint="eastAsia"/>
          <w:sz w:val="24"/>
          <w:lang w:eastAsia="zh-CN"/>
        </w:rPr>
        <w:t>（3）基金管理人和基金托管人由于各自技术系统设置而产生的净值计算尾差，以基金管理人计算结果为准。</w:t>
      </w:r>
    </w:p>
    <w:p w14:paraId="0EC50BBF">
      <w:pPr>
        <w:adjustRightInd w:val="0"/>
        <w:snapToGrid w:val="0"/>
        <w:spacing w:line="360" w:lineRule="auto"/>
        <w:ind w:firstLine="480" w:firstLineChars="200"/>
        <w:rPr>
          <w:sz w:val="24"/>
          <w:lang w:eastAsia="zh-CN"/>
        </w:rPr>
      </w:pPr>
      <w:r>
        <w:rPr>
          <w:rFonts w:hint="eastAsia"/>
          <w:sz w:val="24"/>
          <w:lang w:eastAsia="zh-CN"/>
        </w:rPr>
        <w:t>（</w:t>
      </w:r>
      <w:r>
        <w:rPr>
          <w:sz w:val="24"/>
          <w:lang w:eastAsia="zh-CN"/>
        </w:rPr>
        <w:t>4</w:t>
      </w:r>
      <w:r>
        <w:rPr>
          <w:rFonts w:hint="eastAsia"/>
          <w:sz w:val="24"/>
          <w:lang w:eastAsia="zh-CN"/>
        </w:rPr>
        <w:t>）前述内容如法律法规或监管机关另有规定的，从其规定处理。</w:t>
      </w:r>
      <w:bookmarkEnd w:id="158"/>
      <w:bookmarkStart w:id="161" w:name="_Toc382819116"/>
      <w:r>
        <w:rPr>
          <w:rFonts w:hint="eastAsia"/>
          <w:sz w:val="24"/>
          <w:lang w:eastAsia="zh-CN"/>
        </w:rPr>
        <w:t>如果法律法规或监管机关没有规定的，基金管理人、基金托管人应本着平等和保护基金份额持有人利益的原则协商一致后参照行业惯例处理。</w:t>
      </w:r>
    </w:p>
    <w:bookmarkEnd w:id="159"/>
    <w:bookmarkEnd w:id="160"/>
    <w:p w14:paraId="0D421861">
      <w:pPr>
        <w:adjustRightInd w:val="0"/>
        <w:snapToGrid w:val="0"/>
        <w:spacing w:line="360" w:lineRule="auto"/>
        <w:ind w:firstLine="480" w:firstLineChars="200"/>
        <w:rPr>
          <w:sz w:val="24"/>
          <w:lang w:eastAsia="zh-CN"/>
        </w:rPr>
      </w:pPr>
      <w:r>
        <w:rPr>
          <w:rFonts w:hint="eastAsia"/>
          <w:sz w:val="24"/>
          <w:lang w:eastAsia="zh-CN"/>
        </w:rPr>
        <w:t>（五）基金账册的建立</w:t>
      </w:r>
      <w:bookmarkEnd w:id="161"/>
    </w:p>
    <w:p w14:paraId="0ECE2425">
      <w:pPr>
        <w:adjustRightInd w:val="0"/>
        <w:snapToGrid w:val="0"/>
        <w:spacing w:line="360" w:lineRule="auto"/>
        <w:ind w:firstLine="480" w:firstLineChars="200"/>
        <w:rPr>
          <w:sz w:val="24"/>
          <w:lang w:eastAsia="zh-CN"/>
        </w:rPr>
      </w:pPr>
      <w:r>
        <w:rPr>
          <w:rFonts w:hint="eastAsia"/>
          <w:sz w:val="24"/>
          <w:lang w:eastAsia="zh-CN"/>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2F029B00">
      <w:pPr>
        <w:adjustRightInd w:val="0"/>
        <w:snapToGrid w:val="0"/>
        <w:spacing w:line="360" w:lineRule="auto"/>
        <w:ind w:firstLine="480" w:firstLineChars="200"/>
        <w:rPr>
          <w:sz w:val="24"/>
          <w:lang w:eastAsia="zh-CN"/>
        </w:rPr>
      </w:pPr>
      <w:r>
        <w:rPr>
          <w:rFonts w:hint="eastAsia"/>
          <w:sz w:val="24"/>
          <w:lang w:eastAsia="zh-CN"/>
        </w:rPr>
        <w:t>经对账发现相关各方的账目存在不符的，基金管理人和基金托管人必须及时查明原因并纠正，保证相关各方平行登录的账册记录完全相符。若当日核对不符，暂时无法查找到错账的原因而影响到基金净值的计算和公告的，以基金管理人的账册为准。</w:t>
      </w:r>
    </w:p>
    <w:p w14:paraId="5C1CE209">
      <w:pPr>
        <w:adjustRightInd w:val="0"/>
        <w:snapToGrid w:val="0"/>
        <w:spacing w:line="360" w:lineRule="auto"/>
        <w:ind w:firstLine="480" w:firstLineChars="200"/>
        <w:rPr>
          <w:sz w:val="24"/>
          <w:lang w:eastAsia="zh-CN"/>
        </w:rPr>
      </w:pPr>
      <w:bookmarkStart w:id="162" w:name="_Toc382819117"/>
      <w:r>
        <w:rPr>
          <w:rFonts w:hint="eastAsia"/>
          <w:sz w:val="24"/>
          <w:lang w:eastAsia="zh-CN"/>
        </w:rPr>
        <w:t>（六）基金定期报告的编制和复核</w:t>
      </w:r>
      <w:bookmarkEnd w:id="162"/>
    </w:p>
    <w:p w14:paraId="2C2FDD0E">
      <w:pPr>
        <w:adjustRightInd w:val="0"/>
        <w:snapToGrid w:val="0"/>
        <w:spacing w:line="360" w:lineRule="auto"/>
        <w:ind w:firstLine="480" w:firstLineChars="200"/>
        <w:rPr>
          <w:sz w:val="24"/>
          <w:lang w:eastAsia="zh-CN"/>
        </w:rPr>
      </w:pPr>
      <w:r>
        <w:rPr>
          <w:rFonts w:hint="eastAsia"/>
          <w:sz w:val="24"/>
          <w:lang w:eastAsia="zh-CN"/>
        </w:rPr>
        <w:t>基金财务报表由基金管理人和基金托管人每月分别独立编制。月度报表的编制，应于每月终了后5个工作日内完成。</w:t>
      </w:r>
    </w:p>
    <w:p w14:paraId="17D51E52">
      <w:pPr>
        <w:adjustRightInd w:val="0"/>
        <w:snapToGrid w:val="0"/>
        <w:spacing w:line="360" w:lineRule="auto"/>
        <w:ind w:firstLine="480" w:firstLineChars="200"/>
        <w:rPr>
          <w:sz w:val="24"/>
          <w:lang w:eastAsia="zh-CN"/>
        </w:rPr>
      </w:pPr>
      <w:r>
        <w:rPr>
          <w:rFonts w:hint="eastAsia"/>
          <w:sz w:val="24"/>
          <w:lang w:eastAsia="zh-CN"/>
        </w:rPr>
        <w:t>基金合同生效后，基金招募说明书的信息发生重大变更的，基金管理人应当在3个工作日内，更新基金招募说明书并登载在规定网站上；基金招募说明书其他信息发生变更的，基金管理人至少每年更新一次。基金终止运作的，基金管理人不再更新基金招募说明书。基金管理人应在每个季度结束之日起1</w:t>
      </w:r>
      <w:r>
        <w:rPr>
          <w:sz w:val="24"/>
          <w:lang w:eastAsia="zh-CN"/>
        </w:rPr>
        <w:t>5</w:t>
      </w:r>
      <w:r>
        <w:rPr>
          <w:rFonts w:hint="eastAsia"/>
          <w:sz w:val="24"/>
          <w:lang w:eastAsia="zh-CN"/>
        </w:rPr>
        <w:t>个工作日内，编制完成基金季度报告并公告；在上半年结束之日起两个月内，编制完成基金中期报告并公告；在每年结束之日起三个月内，编制完成基金年度报告并公告。</w:t>
      </w:r>
    </w:p>
    <w:p w14:paraId="718C717B">
      <w:pPr>
        <w:adjustRightInd w:val="0"/>
        <w:snapToGrid w:val="0"/>
        <w:spacing w:line="360" w:lineRule="auto"/>
        <w:ind w:firstLine="480" w:firstLineChars="200"/>
        <w:rPr>
          <w:sz w:val="24"/>
          <w:lang w:eastAsia="zh-CN"/>
        </w:rPr>
      </w:pPr>
      <w:r>
        <w:rPr>
          <w:rFonts w:hint="eastAsia"/>
          <w:sz w:val="24"/>
          <w:lang w:eastAsia="zh-CN"/>
        </w:rPr>
        <w:t>基金管理人在月度报告完成当日，将有关报告提供基金托管人复核；基金托管人应及时复核，并将复核结果及时书面通知基金管理人。基金管理人在季度报告完成当日，将有关报告提供基金托管人复核，基金托管人应及时复核，并将复核结果书面通知基金管理人。基金管理人在中期报告完成当日，将有关报告提供基金托管人复核，基金托管人在收到后应及时复核，并将复核结果书面通知基金管理人。基金管理人在年度报告完成当日，将有关报告提供基金托管人复核，基金托管人应及时复核，并将复核结果书面通知基金管理人。</w:t>
      </w:r>
    </w:p>
    <w:p w14:paraId="552944A7">
      <w:pPr>
        <w:adjustRightInd w:val="0"/>
        <w:snapToGrid w:val="0"/>
        <w:spacing w:line="360" w:lineRule="auto"/>
        <w:ind w:firstLine="480" w:firstLineChars="200"/>
        <w:rPr>
          <w:sz w:val="24"/>
          <w:lang w:eastAsia="zh-CN"/>
        </w:rPr>
      </w:pPr>
      <w:r>
        <w:rPr>
          <w:rFonts w:hint="eastAsia"/>
          <w:sz w:val="24"/>
          <w:lang w:eastAsia="zh-CN"/>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如果基金管理人与基金托管人不能于应当发布公告之日之前就相关报表达成一致，基金管理人有权按照其编制的报表对外发布公告，基金托管人有权就相关情况报证监会备案。</w:t>
      </w:r>
    </w:p>
    <w:p w14:paraId="1E9117A2">
      <w:pPr>
        <w:adjustRightInd w:val="0"/>
        <w:snapToGrid w:val="0"/>
        <w:spacing w:line="360" w:lineRule="auto"/>
        <w:ind w:firstLine="480" w:firstLineChars="200"/>
        <w:rPr>
          <w:sz w:val="24"/>
          <w:lang w:eastAsia="zh-CN"/>
        </w:rPr>
      </w:pPr>
      <w:r>
        <w:rPr>
          <w:rFonts w:hint="eastAsia"/>
          <w:sz w:val="24"/>
          <w:lang w:eastAsia="zh-CN"/>
        </w:rPr>
        <w:t>基金托管人在对财务会计报告、中期报告或年度报告复核完毕后，需盖章确认或出具相应的复核确认书，以备有权机构对相关文件审核时提示。</w:t>
      </w:r>
    </w:p>
    <w:p w14:paraId="20FB2FAF">
      <w:pPr>
        <w:adjustRightInd w:val="0"/>
        <w:snapToGrid w:val="0"/>
        <w:spacing w:line="360" w:lineRule="auto"/>
        <w:ind w:firstLine="480" w:firstLineChars="200"/>
        <w:rPr>
          <w:color w:val="000000"/>
          <w:sz w:val="24"/>
          <w:szCs w:val="24"/>
          <w:lang w:eastAsia="zh-CN"/>
        </w:rPr>
      </w:pPr>
      <w:bookmarkStart w:id="163" w:name="_Toc417740632"/>
      <w:r>
        <w:rPr>
          <w:rFonts w:hint="eastAsia"/>
          <w:color w:val="000000"/>
          <w:sz w:val="24"/>
          <w:szCs w:val="24"/>
          <w:lang w:eastAsia="zh-CN"/>
        </w:rPr>
        <w:t>六、基金份额持有人名册的保管</w:t>
      </w:r>
    </w:p>
    <w:p w14:paraId="4B1A5089">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基金管理人妥善保管的基金份额持有人名册，基金份额持有人名册的内容必须包括基金份额持有人的名称和持有的基金份额。</w:t>
      </w:r>
    </w:p>
    <w:p w14:paraId="545610EA">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基金份额持有人名册由基金的</w:t>
      </w:r>
      <w:r>
        <w:rPr>
          <w:rFonts w:hint="eastAsia" w:cs="Arial"/>
          <w:color w:val="000000" w:themeColor="text1"/>
          <w:sz w:val="24"/>
          <w:lang w:eastAsia="zh-CN"/>
          <w14:textFill>
            <w14:solidFill>
              <w14:schemeClr w14:val="tx1"/>
            </w14:solidFill>
          </w14:textFill>
        </w:rPr>
        <w:t>基金登记机构根据基金管理人的指令编制和保管</w:t>
      </w:r>
      <w:r>
        <w:rPr>
          <w:rFonts w:hint="eastAsia"/>
          <w:color w:val="000000" w:themeColor="text1"/>
          <w:sz w:val="24"/>
          <w:lang w:eastAsia="zh-CN"/>
          <w14:textFill>
            <w14:solidFill>
              <w14:schemeClr w14:val="tx1"/>
            </w14:solidFill>
          </w14:textFill>
        </w:rPr>
        <w:t>，基金管理人应按照目前相关规则保管基金份额持有人名册。保管方式可以采用电子或文档的形式。保管期限不低于法律法规规定的最低期限。</w:t>
      </w:r>
    </w:p>
    <w:p w14:paraId="1AA1C44B">
      <w:pPr>
        <w:adjustRightInd w:val="0"/>
        <w:snapToGrid w:val="0"/>
        <w:spacing w:line="360" w:lineRule="auto"/>
        <w:ind w:firstLine="480" w:firstLineChars="200"/>
        <w:rPr>
          <w:color w:val="000000"/>
          <w:sz w:val="24"/>
          <w:szCs w:val="24"/>
          <w:lang w:eastAsia="zh-CN"/>
        </w:rPr>
      </w:pPr>
      <w:r>
        <w:rPr>
          <w:rFonts w:hint="eastAsia"/>
          <w:color w:val="000000" w:themeColor="text1"/>
          <w:sz w:val="24"/>
          <w:lang w:eastAsia="zh-CN"/>
          <w14:textFill>
            <w14:solidFill>
              <w14:schemeClr w14:val="tx1"/>
            </w14:solidFill>
          </w14:textFill>
        </w:rPr>
        <w:t>在基金托管人需要时，基金管理人应将基金持有人名册送交基金托管人，文件方式可以采用电子或文档的形式并且保证其的真实、准确、完整。基金托管人应妥善保管，不得将持有人名册用于基金托管业务以外的其他用途。</w:t>
      </w:r>
    </w:p>
    <w:p w14:paraId="77375FD8">
      <w:pPr>
        <w:adjustRightInd w:val="0"/>
        <w:snapToGrid w:val="0"/>
        <w:spacing w:line="360" w:lineRule="auto"/>
        <w:ind w:firstLine="480" w:firstLineChars="200"/>
        <w:rPr>
          <w:color w:val="000000"/>
          <w:sz w:val="24"/>
          <w:szCs w:val="24"/>
          <w:lang w:eastAsia="zh-CN"/>
        </w:rPr>
      </w:pPr>
      <w:r>
        <w:rPr>
          <w:rFonts w:hint="eastAsia"/>
          <w:color w:val="000000"/>
          <w:sz w:val="24"/>
          <w:szCs w:val="24"/>
          <w:lang w:eastAsia="zh-CN"/>
        </w:rPr>
        <w:t>七</w:t>
      </w:r>
      <w:r>
        <w:rPr>
          <w:color w:val="000000"/>
          <w:sz w:val="24"/>
          <w:szCs w:val="24"/>
          <w:lang w:eastAsia="zh-CN"/>
        </w:rPr>
        <w:t>、托管协议的变更、终止与基金财产的清算</w:t>
      </w:r>
    </w:p>
    <w:p w14:paraId="021CE94D">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（一）托管协议的变更与终止</w:t>
      </w:r>
    </w:p>
    <w:p w14:paraId="42988D7F">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1、托管协议的变更程序</w:t>
      </w:r>
    </w:p>
    <w:p w14:paraId="7F7F45B3">
      <w:pPr>
        <w:adjustRightInd w:val="0"/>
        <w:spacing w:line="360" w:lineRule="auto"/>
        <w:ind w:firstLine="504" w:firstLineChars="200"/>
        <w:rPr>
          <w:color w:val="000000" w:themeColor="text1"/>
          <w:spacing w:val="6"/>
          <w:sz w:val="24"/>
          <w:lang w:eastAsia="zh-CN"/>
          <w14:textFill>
            <w14:solidFill>
              <w14:schemeClr w14:val="tx1"/>
            </w14:solidFill>
          </w14:textFill>
        </w:rPr>
      </w:pPr>
      <w:r>
        <w:rPr>
          <w:rFonts w:hint="eastAsia"/>
          <w:color w:val="000000" w:themeColor="text1"/>
          <w:spacing w:val="6"/>
          <w:sz w:val="24"/>
          <w:lang w:eastAsia="zh-CN"/>
          <w14:textFill>
            <w14:solidFill>
              <w14:schemeClr w14:val="tx1"/>
            </w14:solidFill>
          </w14:textFill>
        </w:rPr>
        <w:t>本协议双方当事人经协商一致，可以对协议的内容进行变更。变更后的托管协议，其内容不得与《基金合同》的规定有任何冲突，并需</w:t>
      </w:r>
      <w:r>
        <w:rPr>
          <w:rFonts w:hint="eastAsia"/>
          <w:color w:val="000000" w:themeColor="text1"/>
          <w:sz w:val="24"/>
          <w:lang w:eastAsia="zh-CN"/>
          <w14:textFill>
            <w14:solidFill>
              <w14:schemeClr w14:val="tx1"/>
            </w14:solidFill>
          </w14:textFill>
        </w:rPr>
        <w:t>经基金管理人、基金托管人加盖公章或合同专用章以及双方法定代表人或授权代理人签字（或盖章）确认</w:t>
      </w:r>
      <w:r>
        <w:rPr>
          <w:rFonts w:hint="eastAsia"/>
          <w:color w:val="000000" w:themeColor="text1"/>
          <w:spacing w:val="6"/>
          <w:sz w:val="24"/>
          <w:lang w:eastAsia="zh-CN"/>
          <w14:textFill>
            <w14:solidFill>
              <w14:schemeClr w14:val="tx1"/>
            </w14:solidFill>
          </w14:textFill>
        </w:rPr>
        <w:t>。基金托管协议的变更报中国证监会备案。</w:t>
      </w:r>
    </w:p>
    <w:p w14:paraId="0446B11F">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2、基金托管协议终止的情形</w:t>
      </w:r>
    </w:p>
    <w:p w14:paraId="0206DDE3">
      <w:pPr>
        <w:adjustRightInd w:val="0"/>
        <w:spacing w:line="360" w:lineRule="auto"/>
        <w:ind w:firstLine="504" w:firstLineChars="200"/>
        <w:rPr>
          <w:color w:val="000000" w:themeColor="text1"/>
          <w:spacing w:val="6"/>
          <w:sz w:val="24"/>
          <w:lang w:eastAsia="zh-CN"/>
          <w14:textFill>
            <w14:solidFill>
              <w14:schemeClr w14:val="tx1"/>
            </w14:solidFill>
          </w14:textFill>
        </w:rPr>
      </w:pPr>
      <w:r>
        <w:rPr>
          <w:rFonts w:hint="eastAsia"/>
          <w:color w:val="000000" w:themeColor="text1"/>
          <w:spacing w:val="6"/>
          <w:sz w:val="24"/>
          <w:lang w:eastAsia="zh-CN"/>
          <w14:textFill>
            <w14:solidFill>
              <w14:schemeClr w14:val="tx1"/>
            </w14:solidFill>
          </w14:textFill>
        </w:rPr>
        <w:t>发生以下情况，本托管协议终止：</w:t>
      </w:r>
    </w:p>
    <w:p w14:paraId="16EC5701">
      <w:pPr>
        <w:adjustRightInd w:val="0"/>
        <w:spacing w:line="360" w:lineRule="auto"/>
        <w:ind w:firstLine="504" w:firstLineChars="200"/>
        <w:rPr>
          <w:color w:val="000000" w:themeColor="text1"/>
          <w:spacing w:val="6"/>
          <w:sz w:val="24"/>
          <w:lang w:eastAsia="zh-CN"/>
          <w14:textFill>
            <w14:solidFill>
              <w14:schemeClr w14:val="tx1"/>
            </w14:solidFill>
          </w14:textFill>
        </w:rPr>
      </w:pPr>
      <w:r>
        <w:rPr>
          <w:rFonts w:hint="eastAsia"/>
          <w:color w:val="000000" w:themeColor="text1"/>
          <w:spacing w:val="6"/>
          <w:sz w:val="24"/>
          <w:lang w:eastAsia="zh-CN"/>
          <w14:textFill>
            <w14:solidFill>
              <w14:schemeClr w14:val="tx1"/>
            </w14:solidFill>
          </w14:textFill>
        </w:rPr>
        <w:t>（1）《基金合同》终止；</w:t>
      </w:r>
    </w:p>
    <w:p w14:paraId="297A236C">
      <w:pPr>
        <w:adjustRightInd w:val="0"/>
        <w:spacing w:line="360" w:lineRule="auto"/>
        <w:ind w:firstLine="504" w:firstLineChars="200"/>
        <w:rPr>
          <w:color w:val="000000" w:themeColor="text1"/>
          <w:spacing w:val="6"/>
          <w:sz w:val="24"/>
          <w:lang w:eastAsia="zh-CN"/>
          <w14:textFill>
            <w14:solidFill>
              <w14:schemeClr w14:val="tx1"/>
            </w14:solidFill>
          </w14:textFill>
        </w:rPr>
      </w:pPr>
      <w:r>
        <w:rPr>
          <w:rFonts w:hint="eastAsia"/>
          <w:color w:val="000000" w:themeColor="text1"/>
          <w:spacing w:val="6"/>
          <w:sz w:val="24"/>
          <w:lang w:eastAsia="zh-CN"/>
          <w14:textFill>
            <w14:solidFill>
              <w14:schemeClr w14:val="tx1"/>
            </w14:solidFill>
          </w14:textFill>
        </w:rPr>
        <w:t>（2）基金托管人解散、依法被撤销、破产或由其他基金托管人接管基金托管业务；</w:t>
      </w:r>
    </w:p>
    <w:p w14:paraId="1A0DDBE4">
      <w:pPr>
        <w:adjustRightInd w:val="0"/>
        <w:spacing w:line="360" w:lineRule="auto"/>
        <w:ind w:firstLine="504" w:firstLineChars="200"/>
        <w:rPr>
          <w:color w:val="000000" w:themeColor="text1"/>
          <w:spacing w:val="6"/>
          <w:sz w:val="24"/>
          <w:lang w:eastAsia="zh-CN"/>
          <w14:textFill>
            <w14:solidFill>
              <w14:schemeClr w14:val="tx1"/>
            </w14:solidFill>
          </w14:textFill>
        </w:rPr>
      </w:pPr>
      <w:r>
        <w:rPr>
          <w:rFonts w:hint="eastAsia"/>
          <w:color w:val="000000" w:themeColor="text1"/>
          <w:spacing w:val="6"/>
          <w:sz w:val="24"/>
          <w:lang w:eastAsia="zh-CN"/>
          <w14:textFill>
            <w14:solidFill>
              <w14:schemeClr w14:val="tx1"/>
            </w14:solidFill>
          </w14:textFill>
        </w:rPr>
        <w:t>（3）基金管理人解散、依法被撤销、破产或</w:t>
      </w:r>
      <w:r>
        <w:rPr>
          <w:color w:val="000000" w:themeColor="text1"/>
          <w:spacing w:val="6"/>
          <w:sz w:val="24"/>
          <w:lang w:eastAsia="zh-CN"/>
          <w14:textFill>
            <w14:solidFill>
              <w14:schemeClr w14:val="tx1"/>
            </w14:solidFill>
          </w14:textFill>
        </w:rPr>
        <w:t>由</w:t>
      </w:r>
      <w:r>
        <w:rPr>
          <w:rFonts w:hint="eastAsia"/>
          <w:color w:val="000000" w:themeColor="text1"/>
          <w:spacing w:val="6"/>
          <w:sz w:val="24"/>
          <w:lang w:eastAsia="zh-CN"/>
          <w14:textFill>
            <w14:solidFill>
              <w14:schemeClr w14:val="tx1"/>
            </w14:solidFill>
          </w14:textFill>
        </w:rPr>
        <w:t>其他基金管理人接管基金管理业务；</w:t>
      </w:r>
    </w:p>
    <w:p w14:paraId="7FF90C11">
      <w:pPr>
        <w:adjustRightInd w:val="0"/>
        <w:spacing w:line="360" w:lineRule="auto"/>
        <w:ind w:firstLine="504" w:firstLineChars="200"/>
        <w:rPr>
          <w:color w:val="000000" w:themeColor="text1"/>
          <w:spacing w:val="6"/>
          <w:sz w:val="24"/>
          <w:lang w:eastAsia="zh-CN"/>
          <w14:textFill>
            <w14:solidFill>
              <w14:schemeClr w14:val="tx1"/>
            </w14:solidFill>
          </w14:textFill>
        </w:rPr>
      </w:pPr>
      <w:r>
        <w:rPr>
          <w:rFonts w:hint="eastAsia"/>
          <w:color w:val="000000" w:themeColor="text1"/>
          <w:spacing w:val="6"/>
          <w:sz w:val="24"/>
          <w:lang w:eastAsia="zh-CN"/>
          <w14:textFill>
            <w14:solidFill>
              <w14:schemeClr w14:val="tx1"/>
            </w14:solidFill>
          </w14:textFill>
        </w:rPr>
        <w:t>（4）发生法律法规或《基金合同》规定的终止事项。</w:t>
      </w:r>
    </w:p>
    <w:p w14:paraId="61C77333">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（二）基金财产的清算</w:t>
      </w:r>
    </w:p>
    <w:p w14:paraId="289F86E0">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1、基金财产清算小组：自出现《基金合同》终止事由之日起30个工作日内成立清算小组，基金管理人组织基金财产清算小组并在中国证监会的监督下进行基金清算。</w:t>
      </w:r>
    </w:p>
    <w:p w14:paraId="3E3933D1">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0BE9AC45">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3、基金财产清算小组职责：基金财产清算小组负责基金财产的保管、清理、估价、变现和分配。基金财产清算小组可以依法进行必要的民事活动。</w:t>
      </w:r>
    </w:p>
    <w:p w14:paraId="0D381054">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4、基金财产清算程序：</w:t>
      </w:r>
    </w:p>
    <w:p w14:paraId="19FC7A2C">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（1）《基金合同》终止情形出现时，由基金财产清算小组统一接管基金；</w:t>
      </w:r>
    </w:p>
    <w:p w14:paraId="0F407D5A">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（2）对基金财产和债权债务进行清理和确认；</w:t>
      </w:r>
    </w:p>
    <w:p w14:paraId="16E88B96">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（3）对基金财产进行估值和变现；</w:t>
      </w:r>
    </w:p>
    <w:p w14:paraId="2BFC857E">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（4）制作清算报告；</w:t>
      </w:r>
    </w:p>
    <w:p w14:paraId="706ABC03">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（5）聘请会计师事务所对清算报告进行外部审计，聘请律师事务所对清算报告出具法律意见书；</w:t>
      </w:r>
    </w:p>
    <w:p w14:paraId="550CA807">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（6）将清算报告报中国证监会备案并公告；</w:t>
      </w:r>
    </w:p>
    <w:p w14:paraId="590FAB1C">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（7）对基金剩余财产进行分配。</w:t>
      </w:r>
    </w:p>
    <w:p w14:paraId="7E61BC47">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5、基金财产清算的期限为6个月，但因本基金所持证券的流动性受到限制而不能及时变现的，清算期限相应顺延。</w:t>
      </w:r>
    </w:p>
    <w:p w14:paraId="21D49059">
      <w:pPr>
        <w:adjustRightInd w:val="0"/>
        <w:snapToGrid w:val="0"/>
        <w:spacing w:line="360" w:lineRule="auto"/>
        <w:ind w:firstLine="480" w:firstLineChars="200"/>
        <w:rPr>
          <w:rFonts w:cs="Arial"/>
          <w:color w:val="000000" w:themeColor="text1"/>
          <w:sz w:val="24"/>
          <w:lang w:eastAsia="zh-CN"/>
          <w14:textFill>
            <w14:solidFill>
              <w14:schemeClr w14:val="tx1"/>
            </w14:solidFill>
          </w14:textFill>
        </w:rPr>
      </w:pPr>
      <w:r>
        <w:rPr>
          <w:rFonts w:hint="eastAsia" w:cs="Arial"/>
          <w:color w:val="000000" w:themeColor="text1"/>
          <w:sz w:val="24"/>
          <w:lang w:eastAsia="zh-CN"/>
          <w14:textFill>
            <w14:solidFill>
              <w14:schemeClr w14:val="tx1"/>
            </w14:solidFill>
          </w14:textFill>
        </w:rPr>
        <w:t>（三）清算费用</w:t>
      </w:r>
    </w:p>
    <w:p w14:paraId="6B52B2D7">
      <w:pPr>
        <w:adjustRightInd w:val="0"/>
        <w:snapToGrid w:val="0"/>
        <w:spacing w:line="360" w:lineRule="auto"/>
        <w:ind w:firstLine="480" w:firstLineChars="200"/>
        <w:rPr>
          <w:rFonts w:cs="Arial"/>
          <w:color w:val="000000" w:themeColor="text1"/>
          <w:sz w:val="24"/>
          <w:lang w:eastAsia="zh-CN"/>
          <w14:textFill>
            <w14:solidFill>
              <w14:schemeClr w14:val="tx1"/>
            </w14:solidFill>
          </w14:textFill>
        </w:rPr>
      </w:pPr>
      <w:r>
        <w:rPr>
          <w:rFonts w:hint="eastAsia" w:cs="Arial"/>
          <w:color w:val="000000" w:themeColor="text1"/>
          <w:sz w:val="24"/>
          <w:lang w:eastAsia="zh-CN"/>
          <w14:textFill>
            <w14:solidFill>
              <w14:schemeClr w14:val="tx1"/>
            </w14:solidFill>
          </w14:textFill>
        </w:rPr>
        <w:t>清算费用是指基金财产清算小组在进行基金清算过程中发生的所有合理费用，清算费用由基金财产清算小组优先从基金财产中支付。</w:t>
      </w:r>
    </w:p>
    <w:p w14:paraId="4EFB552C">
      <w:pPr>
        <w:adjustRightInd w:val="0"/>
        <w:snapToGrid w:val="0"/>
        <w:spacing w:line="360" w:lineRule="auto"/>
        <w:ind w:firstLine="480" w:firstLineChars="200"/>
        <w:rPr>
          <w:rFonts w:cs="Arial"/>
          <w:color w:val="000000" w:themeColor="text1"/>
          <w:sz w:val="24"/>
          <w:lang w:eastAsia="zh-CN"/>
          <w14:textFill>
            <w14:solidFill>
              <w14:schemeClr w14:val="tx1"/>
            </w14:solidFill>
          </w14:textFill>
        </w:rPr>
      </w:pPr>
      <w:r>
        <w:rPr>
          <w:rFonts w:hint="eastAsia" w:cs="Arial"/>
          <w:color w:val="000000" w:themeColor="text1"/>
          <w:sz w:val="24"/>
          <w:lang w:eastAsia="zh-CN"/>
          <w14:textFill>
            <w14:solidFill>
              <w14:schemeClr w14:val="tx1"/>
            </w14:solidFill>
          </w14:textFill>
        </w:rPr>
        <w:t>（四）基金财产清算剩余资产的分配</w:t>
      </w:r>
    </w:p>
    <w:p w14:paraId="715695DE">
      <w:pPr>
        <w:adjustRightInd w:val="0"/>
        <w:snapToGrid w:val="0"/>
        <w:spacing w:line="360" w:lineRule="auto"/>
        <w:ind w:firstLine="480" w:firstLineChars="200"/>
        <w:rPr>
          <w:rFonts w:cs="Arial"/>
          <w:color w:val="000000" w:themeColor="text1"/>
          <w:sz w:val="24"/>
          <w:lang w:eastAsia="zh-CN"/>
          <w14:textFill>
            <w14:solidFill>
              <w14:schemeClr w14:val="tx1"/>
            </w14:solidFill>
          </w14:textFill>
        </w:rPr>
      </w:pPr>
      <w:r>
        <w:rPr>
          <w:rFonts w:hint="eastAsia" w:cs="Arial"/>
          <w:color w:val="000000" w:themeColor="text1"/>
          <w:sz w:val="24"/>
          <w:lang w:eastAsia="zh-CN"/>
          <w14:textFill>
            <w14:solidFill>
              <w14:schemeClr w14:val="tx1"/>
            </w14:solidFill>
          </w14:textFill>
        </w:rPr>
        <w:t>依据基金财产清算的分配方案，将基金财产清算后的全部剩余资产扣除基金财产清算费用、交纳所欠税款并清偿基金债务后，按基金份额持有人持有的基金份额比例进行分配。</w:t>
      </w:r>
    </w:p>
    <w:p w14:paraId="67CFDA00">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（五）基金财产清算的公告</w:t>
      </w:r>
    </w:p>
    <w:p w14:paraId="2252183E">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38049DA5">
      <w:pPr>
        <w:spacing w:line="360" w:lineRule="auto"/>
        <w:ind w:firstLine="480" w:firstLineChars="200"/>
        <w:rPr>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（六）基金财产清算账册及文件的保存</w:t>
      </w:r>
    </w:p>
    <w:p w14:paraId="36E25506">
      <w:pPr>
        <w:adjustRightInd w:val="0"/>
        <w:snapToGrid w:val="0"/>
        <w:spacing w:line="360" w:lineRule="auto"/>
        <w:ind w:firstLine="480" w:firstLineChars="200"/>
        <w:rPr>
          <w:color w:val="000000"/>
          <w:sz w:val="24"/>
          <w:szCs w:val="24"/>
          <w:lang w:eastAsia="zh-CN"/>
        </w:rPr>
      </w:pPr>
      <w:r>
        <w:rPr>
          <w:rFonts w:hint="eastAsia"/>
          <w:color w:val="000000" w:themeColor="text1"/>
          <w:sz w:val="24"/>
          <w:lang w:eastAsia="zh-CN"/>
          <w14:textFill>
            <w14:solidFill>
              <w14:schemeClr w14:val="tx1"/>
            </w14:solidFill>
          </w14:textFill>
        </w:rPr>
        <w:t>基金财产清算账册及有关文件由基金托管人保存不低于法律法规规定的最低期限。</w:t>
      </w:r>
    </w:p>
    <w:p w14:paraId="6922D7BB">
      <w:pPr>
        <w:adjustRightInd w:val="0"/>
        <w:snapToGrid w:val="0"/>
        <w:spacing w:line="360" w:lineRule="auto"/>
        <w:ind w:firstLine="480" w:firstLineChars="200"/>
        <w:rPr>
          <w:color w:val="000000"/>
          <w:sz w:val="24"/>
          <w:szCs w:val="24"/>
          <w:lang w:eastAsia="zh-CN"/>
        </w:rPr>
      </w:pPr>
      <w:r>
        <w:rPr>
          <w:rFonts w:hint="eastAsia"/>
          <w:color w:val="000000"/>
          <w:sz w:val="24"/>
          <w:szCs w:val="24"/>
          <w:lang w:eastAsia="zh-CN"/>
        </w:rPr>
        <w:t>八</w:t>
      </w:r>
      <w:r>
        <w:rPr>
          <w:color w:val="000000"/>
          <w:sz w:val="24"/>
          <w:szCs w:val="24"/>
          <w:lang w:eastAsia="zh-CN"/>
        </w:rPr>
        <w:t>、争议解决方式</w:t>
      </w:r>
      <w:bookmarkEnd w:id="163"/>
    </w:p>
    <w:p w14:paraId="70CA5046">
      <w:pPr>
        <w:spacing w:line="360" w:lineRule="auto"/>
        <w:ind w:firstLine="480" w:firstLineChars="200"/>
        <w:rPr>
          <w:color w:val="000000" w:themeColor="text1"/>
          <w:sz w:val="24"/>
          <w:lang w:val="zh-CN" w:eastAsia="zh-CN"/>
          <w14:textFill>
            <w14:solidFill>
              <w14:schemeClr w14:val="tx1"/>
            </w14:solidFill>
          </w14:textFill>
        </w:rPr>
      </w:pPr>
      <w:r>
        <w:rPr>
          <w:rFonts w:hint="eastAsia"/>
          <w:color w:val="000000" w:themeColor="text1"/>
          <w:sz w:val="24"/>
          <w:lang w:val="zh-CN" w:eastAsia="zh-CN"/>
          <w14:textFill>
            <w14:solidFill>
              <w14:schemeClr w14:val="tx1"/>
            </w14:solidFill>
          </w14:textFill>
        </w:rPr>
        <w:t>（一）</w:t>
      </w:r>
      <w:r>
        <w:rPr>
          <w:rFonts w:hint="eastAsia"/>
          <w:color w:val="000000" w:themeColor="text1"/>
          <w:sz w:val="24"/>
          <w:lang w:eastAsia="zh-CN"/>
          <w14:textFill>
            <w14:solidFill>
              <w14:schemeClr w14:val="tx1"/>
            </w14:solidFill>
          </w14:textFill>
        </w:rPr>
        <w:t>本协议适用中华人民共和国法律（为本协议之目的，在此不包括香港、澳门特别行政区和台湾地区法律），并从其解释。</w:t>
      </w:r>
    </w:p>
    <w:p w14:paraId="6D7277C9">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二）双方当事人同意，因本协议而产生的或与本协议有关的一切争议，除经友好协商可以解决的，任何一方均有权将争议提交上海国际经济贸易仲裁委员会，根据该会当时有效的仲裁规则进行仲裁。仲裁的地点在上海市，仲裁裁决是终局性的并对双方均有约束力，仲裁费用由败诉方承担，仲裁裁决另有规定除外。</w:t>
      </w:r>
    </w:p>
    <w:p w14:paraId="12982282">
      <w:pPr>
        <w:spacing w:line="360" w:lineRule="auto"/>
        <w:ind w:firstLine="480" w:firstLineChars="200"/>
        <w:rPr>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争议处理期间，双方当事人应恪守基金管理人和基金托管人职责，继续忠实、勤勉、尽责地履行《基金合同》和本托管协议规定的义务，维护基金份额持有人的合法权益。</w:t>
      </w:r>
    </w:p>
    <w:p w14:paraId="0265ACB1">
      <w:pPr>
        <w:rPr>
          <w:color w:val="000000"/>
          <w:sz w:val="24"/>
          <w:szCs w:val="24"/>
          <w:lang w:eastAsia="zh-CN"/>
        </w:rPr>
      </w:pPr>
      <w:r>
        <w:rPr>
          <w:color w:val="000000"/>
          <w:sz w:val="24"/>
          <w:szCs w:val="24"/>
          <w:lang w:eastAsia="zh-CN"/>
        </w:rPr>
        <w:br w:type="page"/>
      </w:r>
    </w:p>
    <w:p w14:paraId="59E24894">
      <w:pPr>
        <w:adjustRightInd w:val="0"/>
        <w:snapToGrid w:val="0"/>
        <w:spacing w:line="360" w:lineRule="auto"/>
        <w:ind w:firstLine="602" w:firstLineChars="200"/>
        <w:rPr>
          <w:rFonts w:ascii="Times New Roman" w:hAnsi="Times New Roman" w:cs="Times New Roman"/>
          <w:b/>
          <w:sz w:val="30"/>
          <w:szCs w:val="20"/>
          <w:lang w:eastAsia="zh-CN" w:bidi="ar-SA"/>
        </w:rPr>
      </w:pPr>
    </w:p>
    <w:p w14:paraId="75C7A640">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164" w:name="_bookmark22"/>
      <w:bookmarkEnd w:id="164"/>
      <w:bookmarkStart w:id="165" w:name="_Toc69831261"/>
      <w:r>
        <w:rPr>
          <w:rFonts w:ascii="Times New Roman" w:hAnsi="Times New Roman" w:cs="Times New Roman"/>
          <w:b/>
          <w:szCs w:val="20"/>
          <w:lang w:eastAsia="zh-CN" w:bidi="ar-SA"/>
        </w:rPr>
        <w:t>第二十</w:t>
      </w:r>
      <w:r>
        <w:rPr>
          <w:rFonts w:hint="eastAsia" w:ascii="Times New Roman" w:hAnsi="Times New Roman" w:cs="Times New Roman"/>
          <w:b/>
          <w:szCs w:val="20"/>
          <w:lang w:eastAsia="zh-CN" w:bidi="ar-SA"/>
        </w:rPr>
        <w:t>三</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对基金份额持有人的服务</w:t>
      </w:r>
      <w:bookmarkEnd w:id="165"/>
    </w:p>
    <w:p w14:paraId="233D61A0">
      <w:pPr>
        <w:pStyle w:val="7"/>
        <w:spacing w:before="6"/>
        <w:rPr>
          <w:bCs/>
          <w:color w:val="000000"/>
          <w:sz w:val="24"/>
          <w:szCs w:val="22"/>
          <w:lang w:eastAsia="zh-CN"/>
        </w:rPr>
      </w:pPr>
    </w:p>
    <w:p w14:paraId="326C3381">
      <w:pPr>
        <w:spacing w:line="360" w:lineRule="auto"/>
        <w:ind w:firstLine="480" w:firstLineChars="200"/>
        <w:rPr>
          <w:bCs/>
          <w:color w:val="000000"/>
          <w:sz w:val="24"/>
          <w:lang w:eastAsia="zh-CN"/>
        </w:rPr>
      </w:pPr>
      <w:r>
        <w:rPr>
          <w:rFonts w:hint="eastAsia"/>
          <w:bCs/>
          <w:color w:val="000000"/>
          <w:sz w:val="24"/>
          <w:lang w:eastAsia="zh-CN"/>
        </w:rPr>
        <w:t>基金管理人承诺为基金份额持有人提供一系列的服务。基金管理人根据基金份额持有人的需要和市场的变化，有权增加或变更服务项目。主要服务内容如下：</w:t>
      </w:r>
    </w:p>
    <w:p w14:paraId="7A696A5F">
      <w:pPr>
        <w:spacing w:line="360" w:lineRule="auto"/>
        <w:ind w:firstLine="480" w:firstLineChars="200"/>
        <w:rPr>
          <w:bCs/>
          <w:color w:val="000000"/>
          <w:sz w:val="24"/>
          <w:lang w:eastAsia="zh-CN"/>
        </w:rPr>
      </w:pPr>
      <w:r>
        <w:rPr>
          <w:rFonts w:hint="eastAsia"/>
          <w:bCs/>
          <w:color w:val="000000"/>
          <w:sz w:val="24"/>
          <w:lang w:eastAsia="zh-CN"/>
        </w:rPr>
        <w:t>一、持有人登记服务</w:t>
      </w:r>
    </w:p>
    <w:p w14:paraId="64E870E8">
      <w:pPr>
        <w:spacing w:line="360" w:lineRule="auto"/>
        <w:ind w:firstLine="480" w:firstLineChars="200"/>
        <w:rPr>
          <w:bCs/>
          <w:color w:val="000000"/>
          <w:sz w:val="24"/>
          <w:lang w:eastAsia="zh-CN"/>
        </w:rPr>
      </w:pPr>
      <w:r>
        <w:rPr>
          <w:rFonts w:hint="eastAsia"/>
          <w:bCs/>
          <w:color w:val="000000"/>
          <w:sz w:val="24"/>
          <w:lang w:eastAsia="zh-CN"/>
        </w:rPr>
        <w:t>本基金的登记业务指基金登记、存管、过户、清算和结算业务，具体内容包括投资人基金账户的建立和管理、基金份额登记（包括初始登记，申购赎回变更登记、收益结转基金份额变更登记、非交易过户变更登记）、基金销售业务的确认、清算和结算、代理发放红利、建立并保管基金份额持有人名册和办理非交易过户等。</w:t>
      </w:r>
    </w:p>
    <w:p w14:paraId="34CF5F5C">
      <w:pPr>
        <w:spacing w:line="360" w:lineRule="auto"/>
        <w:ind w:firstLine="480" w:firstLineChars="200"/>
        <w:rPr>
          <w:bCs/>
          <w:color w:val="000000"/>
          <w:sz w:val="24"/>
          <w:lang w:eastAsia="zh-CN"/>
        </w:rPr>
      </w:pPr>
      <w:r>
        <w:rPr>
          <w:rFonts w:hint="eastAsia"/>
          <w:bCs/>
          <w:color w:val="000000"/>
          <w:sz w:val="24"/>
          <w:lang w:eastAsia="zh-CN"/>
        </w:rPr>
        <w:t>基金管理人担任基金登记机构，为基金份额持有人提供登记服务，配备安全、完善的电脑系统及通讯系统，准确、及时地为基金份额持有人办理基金账户业务、基金份额的登记、权益分配时红利的登记、权益分配时红利的派发、基金交易份额的清算过户等服务。</w:t>
      </w:r>
    </w:p>
    <w:p w14:paraId="26747EA7">
      <w:pPr>
        <w:spacing w:line="360" w:lineRule="auto"/>
        <w:ind w:firstLine="480" w:firstLineChars="200"/>
        <w:rPr>
          <w:bCs/>
          <w:color w:val="000000"/>
          <w:sz w:val="24"/>
          <w:lang w:eastAsia="zh-CN"/>
        </w:rPr>
      </w:pPr>
      <w:r>
        <w:rPr>
          <w:rFonts w:hint="eastAsia"/>
          <w:bCs/>
          <w:color w:val="000000"/>
          <w:sz w:val="24"/>
          <w:lang w:eastAsia="zh-CN"/>
        </w:rPr>
        <w:t>二、持有人交易记录查询及邮寄服务</w:t>
      </w:r>
    </w:p>
    <w:p w14:paraId="0EE9FEDE">
      <w:pPr>
        <w:spacing w:line="360" w:lineRule="auto"/>
        <w:ind w:firstLine="480" w:firstLineChars="200"/>
        <w:rPr>
          <w:bCs/>
          <w:color w:val="000000"/>
          <w:sz w:val="24"/>
          <w:lang w:eastAsia="zh-CN"/>
        </w:rPr>
      </w:pPr>
      <w:r>
        <w:rPr>
          <w:bCs/>
          <w:color w:val="000000"/>
          <w:sz w:val="24"/>
          <w:lang w:eastAsia="zh-CN"/>
        </w:rPr>
        <w:t>1</w:t>
      </w:r>
      <w:r>
        <w:rPr>
          <w:rFonts w:hint="eastAsia"/>
          <w:bCs/>
          <w:color w:val="000000"/>
          <w:sz w:val="24"/>
          <w:lang w:eastAsia="zh-CN"/>
        </w:rPr>
        <w:t>、基金交易确认服务</w:t>
      </w:r>
    </w:p>
    <w:p w14:paraId="45FE164F">
      <w:pPr>
        <w:spacing w:line="360" w:lineRule="auto"/>
        <w:ind w:firstLine="480" w:firstLineChars="200"/>
        <w:rPr>
          <w:bCs/>
          <w:color w:val="000000"/>
          <w:sz w:val="24"/>
          <w:lang w:eastAsia="zh-CN"/>
        </w:rPr>
      </w:pPr>
      <w:r>
        <w:rPr>
          <w:rFonts w:hint="eastAsia"/>
          <w:bCs/>
          <w:color w:val="000000"/>
          <w:sz w:val="24"/>
          <w:lang w:eastAsia="zh-CN"/>
        </w:rPr>
        <w:t>基金投资人在交易申请被受理的</w:t>
      </w:r>
      <w:r>
        <w:rPr>
          <w:bCs/>
          <w:color w:val="000000"/>
          <w:sz w:val="24"/>
          <w:lang w:eastAsia="zh-CN"/>
        </w:rPr>
        <w:t>2</w:t>
      </w:r>
      <w:r>
        <w:rPr>
          <w:rFonts w:hint="eastAsia"/>
          <w:bCs/>
          <w:color w:val="000000"/>
          <w:sz w:val="24"/>
          <w:lang w:eastAsia="zh-CN"/>
        </w:rPr>
        <w:t>个工作日后，可以到销售网点查询和打印该项交易的确认信息，或者通过国新国证基金管理有限公司客户服务热线及网站进行查询。</w:t>
      </w:r>
    </w:p>
    <w:p w14:paraId="5802F120">
      <w:pPr>
        <w:spacing w:line="360" w:lineRule="auto"/>
        <w:ind w:firstLine="480" w:firstLineChars="200"/>
        <w:rPr>
          <w:bCs/>
          <w:color w:val="000000"/>
          <w:sz w:val="24"/>
          <w:lang w:eastAsia="zh-CN"/>
        </w:rPr>
      </w:pPr>
      <w:r>
        <w:rPr>
          <w:bCs/>
          <w:color w:val="000000"/>
          <w:sz w:val="24"/>
          <w:lang w:eastAsia="zh-CN"/>
        </w:rPr>
        <w:t>2</w:t>
      </w:r>
      <w:r>
        <w:rPr>
          <w:rFonts w:hint="eastAsia"/>
          <w:bCs/>
          <w:color w:val="000000"/>
          <w:sz w:val="24"/>
          <w:lang w:eastAsia="zh-CN"/>
        </w:rPr>
        <w:t>、基金对账单服务</w:t>
      </w:r>
    </w:p>
    <w:p w14:paraId="6153FDDA">
      <w:pPr>
        <w:spacing w:line="360" w:lineRule="auto"/>
        <w:ind w:firstLine="480" w:firstLineChars="200"/>
        <w:rPr>
          <w:bCs/>
          <w:color w:val="000000"/>
          <w:sz w:val="24"/>
          <w:lang w:eastAsia="zh-CN"/>
        </w:rPr>
      </w:pPr>
      <w:r>
        <w:rPr>
          <w:rFonts w:hint="eastAsia"/>
          <w:bCs/>
          <w:color w:val="000000"/>
          <w:sz w:val="24"/>
          <w:lang w:eastAsia="zh-CN"/>
        </w:rPr>
        <w:t>基金管理人向基金份额持有人提供对账单服务，基金份额持有人可自主选择对账单的发送方式，如纸制对账单、电子邮件对账单或短信对账单，或者通过基金管理人网站进行在线对账单的查询与打印。</w:t>
      </w:r>
    </w:p>
    <w:p w14:paraId="265DBC24">
      <w:pPr>
        <w:spacing w:line="360" w:lineRule="auto"/>
        <w:ind w:firstLine="480" w:firstLineChars="200"/>
        <w:rPr>
          <w:bCs/>
          <w:color w:val="000000"/>
          <w:sz w:val="24"/>
          <w:lang w:eastAsia="zh-CN"/>
        </w:rPr>
      </w:pPr>
      <w:r>
        <w:rPr>
          <w:bCs/>
          <w:color w:val="000000"/>
          <w:sz w:val="24"/>
          <w:lang w:eastAsia="zh-CN"/>
        </w:rPr>
        <w:t>3</w:t>
      </w:r>
      <w:r>
        <w:rPr>
          <w:rFonts w:hint="eastAsia"/>
          <w:bCs/>
          <w:color w:val="000000"/>
          <w:sz w:val="24"/>
          <w:lang w:eastAsia="zh-CN"/>
        </w:rPr>
        <w:t>、信息定制服务</w:t>
      </w:r>
    </w:p>
    <w:p w14:paraId="69D7FF00">
      <w:pPr>
        <w:spacing w:line="360" w:lineRule="auto"/>
        <w:ind w:firstLine="480" w:firstLineChars="200"/>
        <w:rPr>
          <w:bCs/>
          <w:color w:val="000000"/>
          <w:sz w:val="24"/>
          <w:lang w:eastAsia="zh-CN"/>
        </w:rPr>
      </w:pPr>
      <w:r>
        <w:rPr>
          <w:rFonts w:hint="eastAsia"/>
          <w:bCs/>
          <w:color w:val="000000"/>
          <w:sz w:val="24"/>
          <w:lang w:eastAsia="zh-CN"/>
        </w:rPr>
        <w:t>基金份额持有人可以通过基金管理人网站、客服服务热线、手机短信等通道提交信息定制申请。可定制的信息主要有：基金份额净值、交易确认、对账单服务等。基金管理人可根据实际业务需要，调整定制信息的条件、方式和内容。</w:t>
      </w:r>
    </w:p>
    <w:p w14:paraId="01849A9D">
      <w:pPr>
        <w:spacing w:line="360" w:lineRule="auto"/>
        <w:ind w:firstLine="480" w:firstLineChars="200"/>
        <w:rPr>
          <w:bCs/>
          <w:color w:val="000000"/>
          <w:sz w:val="24"/>
          <w:lang w:eastAsia="zh-CN"/>
        </w:rPr>
      </w:pPr>
      <w:r>
        <w:rPr>
          <w:rFonts w:hint="eastAsia"/>
          <w:bCs/>
          <w:color w:val="000000"/>
          <w:sz w:val="24"/>
          <w:lang w:eastAsia="zh-CN"/>
        </w:rPr>
        <w:t>三、信息查询</w:t>
      </w:r>
    </w:p>
    <w:p w14:paraId="44951CD2">
      <w:pPr>
        <w:spacing w:line="360" w:lineRule="auto"/>
        <w:ind w:firstLine="480" w:firstLineChars="200"/>
        <w:rPr>
          <w:bCs/>
          <w:color w:val="000000"/>
          <w:sz w:val="24"/>
          <w:lang w:eastAsia="zh-CN"/>
        </w:rPr>
      </w:pPr>
      <w:r>
        <w:rPr>
          <w:rFonts w:hint="eastAsia"/>
          <w:bCs/>
          <w:color w:val="000000"/>
          <w:sz w:val="24"/>
          <w:lang w:eastAsia="zh-CN"/>
        </w:rPr>
        <w:t>基金管理人为每个基金账户提供一个基金账户查询密码，基金份额持有人可以凭基金账号和该密码通过基金管理人的客户服务热线查询客户基金账户信息；同时可以修改通信地址、电话、电子邮件等信息；另外还可登录本基金管理人网站查询基金申购与赎回的交易情况、账户余额、基金产品信息。</w:t>
      </w:r>
      <w:r>
        <w:rPr>
          <w:bCs/>
          <w:color w:val="000000"/>
          <w:sz w:val="24"/>
          <w:lang w:eastAsia="zh-CN"/>
        </w:rPr>
        <w:t xml:space="preserve"> </w:t>
      </w:r>
    </w:p>
    <w:p w14:paraId="74841807">
      <w:pPr>
        <w:spacing w:line="360" w:lineRule="auto"/>
        <w:ind w:firstLine="480" w:firstLineChars="200"/>
        <w:rPr>
          <w:bCs/>
          <w:color w:val="000000"/>
          <w:sz w:val="24"/>
          <w:lang w:eastAsia="zh-CN"/>
        </w:rPr>
      </w:pPr>
      <w:r>
        <w:rPr>
          <w:rFonts w:hint="eastAsia"/>
          <w:bCs/>
          <w:color w:val="000000"/>
          <w:sz w:val="24"/>
          <w:lang w:eastAsia="zh-CN"/>
        </w:rPr>
        <w:t>四、投诉受理</w:t>
      </w:r>
    </w:p>
    <w:p w14:paraId="3FBD2E56">
      <w:pPr>
        <w:spacing w:line="360" w:lineRule="auto"/>
        <w:ind w:firstLine="480" w:firstLineChars="200"/>
        <w:rPr>
          <w:bCs/>
          <w:color w:val="000000"/>
          <w:sz w:val="24"/>
          <w:lang w:eastAsia="zh-CN"/>
        </w:rPr>
      </w:pPr>
      <w:r>
        <w:rPr>
          <w:rFonts w:hint="eastAsia"/>
          <w:bCs/>
          <w:color w:val="000000"/>
          <w:sz w:val="24"/>
          <w:lang w:eastAsia="zh-CN"/>
        </w:rPr>
        <w:t>基金份额持有人可以通过基金管理人提供的客户服务热线、书信、电子邮件等渠道对基金管理人和代销机构所提供的服务进行投诉。基金份额持有人还可以通过代销机构的服务电话进行投诉。</w:t>
      </w:r>
      <w:r>
        <w:rPr>
          <w:bCs/>
          <w:color w:val="000000"/>
          <w:sz w:val="24"/>
          <w:lang w:eastAsia="zh-CN"/>
        </w:rPr>
        <w:t xml:space="preserve"> </w:t>
      </w:r>
    </w:p>
    <w:p w14:paraId="4FF735F2">
      <w:pPr>
        <w:spacing w:line="360" w:lineRule="auto"/>
        <w:ind w:firstLine="480" w:firstLineChars="200"/>
        <w:rPr>
          <w:bCs/>
          <w:color w:val="000000"/>
          <w:sz w:val="24"/>
          <w:lang w:eastAsia="zh-CN"/>
        </w:rPr>
      </w:pPr>
      <w:r>
        <w:rPr>
          <w:rFonts w:hint="eastAsia"/>
          <w:bCs/>
          <w:color w:val="000000"/>
          <w:sz w:val="24"/>
          <w:lang w:eastAsia="zh-CN"/>
        </w:rPr>
        <w:t>五、服务联系方式</w:t>
      </w:r>
    </w:p>
    <w:p w14:paraId="5F555E47">
      <w:pPr>
        <w:spacing w:line="360" w:lineRule="auto"/>
        <w:ind w:firstLine="480" w:firstLineChars="200"/>
        <w:rPr>
          <w:bCs/>
          <w:color w:val="000000"/>
          <w:sz w:val="24"/>
          <w:lang w:eastAsia="zh-CN"/>
        </w:rPr>
      </w:pPr>
      <w:r>
        <w:rPr>
          <w:bCs/>
          <w:color w:val="000000"/>
          <w:sz w:val="24"/>
          <w:lang w:eastAsia="zh-CN"/>
        </w:rPr>
        <w:t>1</w:t>
      </w:r>
      <w:r>
        <w:rPr>
          <w:rFonts w:hint="eastAsia"/>
          <w:bCs/>
          <w:color w:val="000000"/>
          <w:sz w:val="24"/>
          <w:lang w:eastAsia="zh-CN"/>
        </w:rPr>
        <w:t>、客户服务热线</w:t>
      </w:r>
    </w:p>
    <w:p w14:paraId="185FE915">
      <w:pPr>
        <w:spacing w:line="360" w:lineRule="auto"/>
        <w:ind w:firstLine="480" w:firstLineChars="200"/>
        <w:rPr>
          <w:bCs/>
          <w:color w:val="000000"/>
          <w:sz w:val="24"/>
          <w:lang w:eastAsia="zh-CN"/>
        </w:rPr>
      </w:pPr>
      <w:r>
        <w:rPr>
          <w:rFonts w:hint="eastAsia"/>
          <w:bCs/>
          <w:color w:val="000000"/>
          <w:sz w:val="24"/>
          <w:lang w:eastAsia="zh-CN"/>
        </w:rPr>
        <w:t>电话：400-819-0789</w:t>
      </w:r>
    </w:p>
    <w:p w14:paraId="6D00976B">
      <w:pPr>
        <w:spacing w:line="360" w:lineRule="auto"/>
        <w:ind w:firstLine="480" w:firstLineChars="200"/>
        <w:rPr>
          <w:bCs/>
          <w:color w:val="000000"/>
          <w:sz w:val="24"/>
          <w:lang w:eastAsia="zh-CN"/>
        </w:rPr>
      </w:pPr>
      <w:r>
        <w:rPr>
          <w:rFonts w:hint="eastAsia"/>
          <w:bCs/>
          <w:color w:val="000000"/>
          <w:sz w:val="24"/>
          <w:lang w:eastAsia="zh-CN"/>
        </w:rPr>
        <w:t>传真：010-59315600</w:t>
      </w:r>
    </w:p>
    <w:p w14:paraId="1343C004">
      <w:pPr>
        <w:spacing w:line="360" w:lineRule="auto"/>
        <w:ind w:firstLine="480" w:firstLineChars="200"/>
        <w:rPr>
          <w:bCs/>
          <w:color w:val="000000"/>
          <w:sz w:val="24"/>
          <w:lang w:eastAsia="zh-CN"/>
        </w:rPr>
      </w:pPr>
      <w:r>
        <w:rPr>
          <w:bCs/>
          <w:color w:val="000000"/>
          <w:sz w:val="24"/>
          <w:lang w:eastAsia="zh-CN"/>
        </w:rPr>
        <w:t>2</w:t>
      </w:r>
      <w:r>
        <w:rPr>
          <w:rFonts w:hint="eastAsia"/>
          <w:bCs/>
          <w:color w:val="000000"/>
          <w:sz w:val="24"/>
          <w:lang w:eastAsia="zh-CN"/>
        </w:rPr>
        <w:t>、互联网网站</w:t>
      </w:r>
    </w:p>
    <w:p w14:paraId="07055AF6">
      <w:pPr>
        <w:spacing w:line="360" w:lineRule="auto"/>
        <w:ind w:firstLine="480" w:firstLineChars="200"/>
        <w:rPr>
          <w:bCs/>
          <w:color w:val="000000"/>
          <w:sz w:val="24"/>
          <w:lang w:eastAsia="zh-CN"/>
        </w:rPr>
      </w:pPr>
      <w:r>
        <w:rPr>
          <w:rFonts w:hint="eastAsia"/>
          <w:bCs/>
          <w:color w:val="000000"/>
          <w:sz w:val="24"/>
          <w:lang w:eastAsia="zh-CN"/>
        </w:rPr>
        <w:t>公司网址：</w:t>
      </w:r>
      <w:r>
        <w:rPr>
          <w:bCs/>
          <w:color w:val="000000"/>
          <w:sz w:val="24"/>
          <w:lang w:eastAsia="zh-CN"/>
        </w:rPr>
        <w:t>www.</w:t>
      </w:r>
      <w:r>
        <w:rPr>
          <w:rFonts w:hint="eastAsia"/>
          <w:bCs/>
          <w:color w:val="000000"/>
          <w:sz w:val="24"/>
          <w:lang w:val="en-US" w:eastAsia="zh-CN"/>
        </w:rPr>
        <w:t>crs</w:t>
      </w:r>
      <w:r>
        <w:rPr>
          <w:bCs/>
          <w:color w:val="000000"/>
          <w:sz w:val="24"/>
          <w:lang w:eastAsia="zh-CN"/>
        </w:rPr>
        <w:t>fund.com.cn</w:t>
      </w:r>
    </w:p>
    <w:p w14:paraId="2D133F81">
      <w:pPr>
        <w:spacing w:line="360" w:lineRule="auto"/>
        <w:ind w:firstLine="480" w:firstLineChars="200"/>
        <w:rPr>
          <w:bCs/>
          <w:color w:val="000000"/>
          <w:sz w:val="24"/>
          <w:lang w:eastAsia="zh-CN"/>
        </w:rPr>
      </w:pPr>
      <w:r>
        <w:rPr>
          <w:rFonts w:hint="eastAsia"/>
          <w:bCs/>
          <w:color w:val="000000"/>
          <w:sz w:val="24"/>
          <w:lang w:eastAsia="zh-CN"/>
        </w:rPr>
        <w:t>电子信箱：</w:t>
      </w:r>
      <w:r>
        <w:rPr>
          <w:bCs/>
          <w:color w:val="000000"/>
          <w:sz w:val="24"/>
          <w:lang w:eastAsia="zh-CN"/>
        </w:rPr>
        <w:t>service@</w:t>
      </w:r>
      <w:r>
        <w:rPr>
          <w:rFonts w:hint="eastAsia"/>
          <w:bCs/>
          <w:color w:val="000000"/>
          <w:sz w:val="24"/>
          <w:lang w:val="en-US" w:eastAsia="zh-CN"/>
        </w:rPr>
        <w:t>crs</w:t>
      </w:r>
      <w:r>
        <w:rPr>
          <w:rFonts w:hint="eastAsia"/>
          <w:bCs/>
          <w:color w:val="000000"/>
          <w:sz w:val="24"/>
          <w:lang w:eastAsia="zh-CN"/>
        </w:rPr>
        <w:t>fund</w:t>
      </w:r>
      <w:r>
        <w:rPr>
          <w:bCs/>
          <w:color w:val="000000"/>
          <w:sz w:val="24"/>
          <w:lang w:eastAsia="zh-CN"/>
        </w:rPr>
        <w:t>.com.cn</w:t>
      </w:r>
    </w:p>
    <w:p w14:paraId="10A9CB30">
      <w:pPr>
        <w:spacing w:line="424" w:lineRule="auto"/>
        <w:rPr>
          <w:lang w:eastAsia="zh-CN"/>
        </w:rPr>
      </w:pPr>
    </w:p>
    <w:p w14:paraId="3EED82F7">
      <w:pPr>
        <w:spacing w:line="424" w:lineRule="auto"/>
        <w:rPr>
          <w:lang w:eastAsia="zh-CN"/>
        </w:rPr>
        <w:sectPr>
          <w:pgSz w:w="11910" w:h="16840"/>
          <w:pgMar w:top="1440" w:right="1800" w:bottom="1440" w:left="1800" w:header="873" w:footer="991" w:gutter="0"/>
          <w:cols w:space="720" w:num="1"/>
        </w:sectPr>
      </w:pPr>
    </w:p>
    <w:p w14:paraId="077BE875">
      <w:pPr>
        <w:pStyle w:val="7"/>
        <w:spacing w:before="7"/>
        <w:rPr>
          <w:sz w:val="12"/>
          <w:lang w:eastAsia="zh-CN"/>
        </w:rPr>
      </w:pPr>
    </w:p>
    <w:p w14:paraId="18E6347B">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166" w:name="_bookmark23"/>
      <w:bookmarkEnd w:id="166"/>
      <w:bookmarkStart w:id="167" w:name="_Toc69831262"/>
      <w:r>
        <w:rPr>
          <w:rFonts w:ascii="Times New Roman" w:hAnsi="Times New Roman" w:cs="Times New Roman"/>
          <w:b/>
          <w:szCs w:val="20"/>
          <w:lang w:eastAsia="zh-CN" w:bidi="ar-SA"/>
        </w:rPr>
        <w:t>第二十</w:t>
      </w:r>
      <w:r>
        <w:rPr>
          <w:rFonts w:hint="eastAsia" w:ascii="Times New Roman" w:hAnsi="Times New Roman" w:cs="Times New Roman"/>
          <w:b/>
          <w:szCs w:val="20"/>
          <w:lang w:eastAsia="zh-CN" w:bidi="ar-SA"/>
        </w:rPr>
        <w:t>四</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其他应披露事项</w:t>
      </w:r>
      <w:bookmarkEnd w:id="167"/>
    </w:p>
    <w:p w14:paraId="7DFD9B19">
      <w:pPr>
        <w:spacing w:line="360" w:lineRule="auto"/>
        <w:ind w:firstLine="480" w:firstLineChars="200"/>
        <w:rPr>
          <w:bCs/>
          <w:color w:val="000000"/>
          <w:sz w:val="24"/>
          <w:lang w:eastAsia="zh-CN"/>
        </w:rPr>
      </w:pPr>
    </w:p>
    <w:p w14:paraId="134B5AB6">
      <w:pPr>
        <w:rPr>
          <w:lang w:eastAsia="zh-CN"/>
        </w:rPr>
      </w:pPr>
    </w:p>
    <w:p w14:paraId="280AB612">
      <w:pPr>
        <w:ind w:firstLine="480" w:firstLineChars="200"/>
        <w:rPr>
          <w:rFonts w:hint="eastAsia" w:ascii="宋体" w:hAnsi="宋体" w:eastAsia="宋体" w:cs="宋体"/>
          <w:bCs/>
          <w:color w:val="000000"/>
          <w:sz w:val="24"/>
          <w:szCs w:val="22"/>
          <w:lang w:eastAsia="zh-CN"/>
        </w:rPr>
      </w:pPr>
      <w:r>
        <w:rPr>
          <w:rFonts w:hint="eastAsia" w:ascii="宋体" w:hAnsi="宋体" w:eastAsia="宋体" w:cs="宋体"/>
          <w:bCs/>
          <w:color w:val="000000"/>
          <w:sz w:val="24"/>
          <w:szCs w:val="22"/>
          <w:lang w:eastAsia="zh-CN"/>
        </w:rPr>
        <w:t>报告期内本基金及基金管理人的有关更新公告如下：</w:t>
      </w:r>
    </w:p>
    <w:tbl>
      <w:tblPr>
        <w:tblStyle w:val="24"/>
        <w:tblW w:w="8658" w:type="dxa"/>
        <w:tblInd w:w="108"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108" w:type="dxa"/>
          <w:bottom w:w="0" w:type="dxa"/>
          <w:right w:w="108" w:type="dxa"/>
        </w:tblCellMar>
      </w:tblPr>
      <w:tblGrid>
        <w:gridCol w:w="709"/>
        <w:gridCol w:w="2977"/>
        <w:gridCol w:w="3402"/>
        <w:gridCol w:w="1570"/>
      </w:tblGrid>
      <w:tr w14:paraId="096180E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4" w:space="0"/>
              <w:right w:val="single" w:color="auto" w:sz="4" w:space="0"/>
            </w:tcBorders>
            <w:shd w:val="clear" w:color="auto" w:fill="D9D9D9"/>
            <w:vAlign w:val="center"/>
          </w:tcPr>
          <w:p w14:paraId="5C2FE19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2977" w:type="dxa"/>
            <w:tcBorders>
              <w:top w:val="single" w:color="000000" w:sz="6" w:space="0"/>
              <w:left w:val="single" w:color="auto" w:sz="4" w:space="0"/>
              <w:bottom w:val="single" w:color="000000" w:sz="4" w:space="0"/>
              <w:right w:val="single" w:color="000000" w:sz="6" w:space="0"/>
            </w:tcBorders>
            <w:shd w:val="clear" w:color="auto" w:fill="D9D9D9"/>
            <w:vAlign w:val="center"/>
          </w:tcPr>
          <w:p w14:paraId="4502744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公告事项</w:t>
            </w:r>
          </w:p>
        </w:tc>
        <w:tc>
          <w:tcPr>
            <w:tcW w:w="3402" w:type="dxa"/>
            <w:tcBorders>
              <w:top w:val="single" w:color="000000" w:sz="6" w:space="0"/>
              <w:left w:val="single" w:color="000000" w:sz="6" w:space="0"/>
              <w:bottom w:val="single" w:color="000000" w:sz="4" w:space="0"/>
              <w:right w:val="single" w:color="000000" w:sz="6" w:space="0"/>
            </w:tcBorders>
            <w:shd w:val="clear" w:color="auto" w:fill="D9D9D9"/>
            <w:vAlign w:val="center"/>
          </w:tcPr>
          <w:p w14:paraId="1B99F96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法定披露方式</w:t>
            </w:r>
          </w:p>
        </w:tc>
        <w:tc>
          <w:tcPr>
            <w:tcW w:w="1570" w:type="dxa"/>
            <w:tcBorders>
              <w:top w:val="single" w:color="000000" w:sz="6" w:space="0"/>
              <w:left w:val="single" w:color="000000" w:sz="6" w:space="0"/>
              <w:bottom w:val="single" w:color="000000" w:sz="4" w:space="0"/>
              <w:right w:val="single" w:color="000000" w:sz="6" w:space="0"/>
            </w:tcBorders>
            <w:shd w:val="clear" w:color="auto" w:fill="D9D9D9"/>
            <w:vAlign w:val="center"/>
          </w:tcPr>
          <w:p w14:paraId="46F7C466">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法定披露日期</w:t>
            </w:r>
          </w:p>
        </w:tc>
      </w:tr>
      <w:tr w14:paraId="5E92DEB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5C138FDA">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977" w:type="dxa"/>
            <w:tcBorders>
              <w:top w:val="single" w:color="000000" w:sz="6" w:space="0"/>
              <w:left w:val="single" w:color="auto" w:sz="4" w:space="0"/>
              <w:bottom w:val="single" w:color="000000" w:sz="6" w:space="0"/>
              <w:right w:val="single" w:color="000000" w:sz="6" w:space="0"/>
            </w:tcBorders>
            <w:vAlign w:val="bottom"/>
          </w:tcPr>
          <w:p w14:paraId="65101889">
            <w:pPr>
              <w:keepNext w:val="0"/>
              <w:keepLines w:val="0"/>
              <w:widowControl/>
              <w:suppressLineNumbers w:val="0"/>
              <w:jc w:val="left"/>
              <w:textAlignment w:val="bottom"/>
              <w:rPr>
                <w:rFonts w:hint="eastAsia" w:ascii="宋体" w:hAnsi="宋体" w:eastAsia="宋体" w:cs="宋体"/>
                <w:color w:val="000000"/>
                <w:sz w:val="22"/>
                <w:szCs w:val="22"/>
                <w:u w:val="none"/>
                <w:lang w:eastAsia="zh-CN" w:bidi="ar"/>
              </w:rPr>
            </w:pPr>
            <w:r>
              <w:rPr>
                <w:rFonts w:hint="eastAsia" w:ascii="宋体" w:hAnsi="宋体" w:eastAsia="宋体" w:cs="宋体"/>
                <w:i w:val="0"/>
                <w:color w:val="000000"/>
                <w:kern w:val="0"/>
                <w:sz w:val="22"/>
                <w:szCs w:val="22"/>
                <w:u w:val="none"/>
                <w:lang w:val="en-US" w:eastAsia="zh-CN" w:bidi="ar"/>
              </w:rPr>
              <w:t>国新国证鑫泰三个月定期开放债券型证券投资基金2025年第一季度报告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3F8AFFEC">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492BD718">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2025-04-22</w:t>
            </w:r>
          </w:p>
        </w:tc>
      </w:tr>
      <w:tr w14:paraId="2A45ED7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6A1B675B">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977" w:type="dxa"/>
            <w:tcBorders>
              <w:top w:val="single" w:color="000000" w:sz="6" w:space="0"/>
              <w:left w:val="single" w:color="auto" w:sz="4" w:space="0"/>
              <w:bottom w:val="single" w:color="000000" w:sz="6" w:space="0"/>
              <w:right w:val="single" w:color="000000" w:sz="6" w:space="0"/>
            </w:tcBorders>
            <w:vAlign w:val="bottom"/>
          </w:tcPr>
          <w:p w14:paraId="739E2B12">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国新国证基金管理有限公司旗下基金2025年第一季度报告提示性公告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69B3B7FA">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中国证券报、证券时报、上海证券报、证券日报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6F84B449">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2025-04-22</w:t>
            </w:r>
          </w:p>
        </w:tc>
      </w:tr>
      <w:tr w14:paraId="417317B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7C963C73">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977" w:type="dxa"/>
            <w:tcBorders>
              <w:top w:val="single" w:color="000000" w:sz="6" w:space="0"/>
              <w:left w:val="single" w:color="auto" w:sz="4" w:space="0"/>
              <w:bottom w:val="single" w:color="000000" w:sz="6" w:space="0"/>
              <w:right w:val="single" w:color="000000" w:sz="6" w:space="0"/>
            </w:tcBorders>
            <w:vAlign w:val="bottom"/>
          </w:tcPr>
          <w:p w14:paraId="269C9005">
            <w:pPr>
              <w:keepNext w:val="0"/>
              <w:keepLines w:val="0"/>
              <w:widowControl/>
              <w:suppressLineNumbers w:val="0"/>
              <w:jc w:val="left"/>
              <w:textAlignment w:val="bottom"/>
              <w:rPr>
                <w:rFonts w:ascii="仿宋_GB2312" w:hAnsi="仿宋_GB2312" w:eastAsia="仿宋_GB2312" w:cs="仿宋_GB2312"/>
                <w:sz w:val="24"/>
                <w:szCs w:val="24"/>
              </w:rPr>
            </w:pPr>
            <w:r>
              <w:rPr>
                <w:rStyle w:val="26"/>
                <w:rFonts w:hint="eastAsia" w:ascii="宋体" w:hAnsi="宋体" w:eastAsia="宋体" w:cs="宋体"/>
                <w:i w:val="0"/>
                <w:color w:val="000000"/>
                <w:sz w:val="22"/>
                <w:szCs w:val="22"/>
                <w:u w:val="none"/>
                <w:lang w:eastAsia="zh-CN" w:bidi="ar"/>
              </w:rPr>
              <w:t>国新国证鑫泰三个月定期开放债券型证券投资基金招募说明书（更新）</w:t>
            </w:r>
          </w:p>
        </w:tc>
        <w:tc>
          <w:tcPr>
            <w:tcW w:w="3402" w:type="dxa"/>
            <w:tcBorders>
              <w:top w:val="single" w:color="000000" w:sz="6" w:space="0"/>
              <w:left w:val="single" w:color="000000" w:sz="6" w:space="0"/>
              <w:bottom w:val="single" w:color="000000" w:sz="6" w:space="0"/>
              <w:right w:val="single" w:color="000000" w:sz="6" w:space="0"/>
            </w:tcBorders>
            <w:vAlign w:val="bottom"/>
          </w:tcPr>
          <w:p w14:paraId="63D9D018">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5BBAC0B3">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2025-04-25</w:t>
            </w:r>
          </w:p>
        </w:tc>
      </w:tr>
      <w:tr w14:paraId="77DE037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7EBC6B71">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2977" w:type="dxa"/>
            <w:tcBorders>
              <w:top w:val="single" w:color="000000" w:sz="6" w:space="0"/>
              <w:left w:val="single" w:color="auto" w:sz="4" w:space="0"/>
              <w:bottom w:val="single" w:color="000000" w:sz="6" w:space="0"/>
              <w:right w:val="single" w:color="000000" w:sz="6" w:space="0"/>
            </w:tcBorders>
            <w:vAlign w:val="bottom"/>
          </w:tcPr>
          <w:p w14:paraId="3B4563BB">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国新国证鑫泰三个月定期开放债券型证券投资基金基金产品资料概要更新</w:t>
            </w:r>
          </w:p>
        </w:tc>
        <w:tc>
          <w:tcPr>
            <w:tcW w:w="3402" w:type="dxa"/>
            <w:tcBorders>
              <w:top w:val="single" w:color="000000" w:sz="6" w:space="0"/>
              <w:left w:val="single" w:color="000000" w:sz="6" w:space="0"/>
              <w:bottom w:val="single" w:color="000000" w:sz="6" w:space="0"/>
              <w:right w:val="single" w:color="000000" w:sz="6" w:space="0"/>
            </w:tcBorders>
            <w:vAlign w:val="bottom"/>
          </w:tcPr>
          <w:p w14:paraId="037C3AD8">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0F8C48ED">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2025-04-25</w:t>
            </w:r>
          </w:p>
        </w:tc>
      </w:tr>
      <w:tr w14:paraId="1E1DCFE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2BFD4943">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2977" w:type="dxa"/>
            <w:tcBorders>
              <w:top w:val="single" w:color="000000" w:sz="6" w:space="0"/>
              <w:left w:val="single" w:color="auto" w:sz="4" w:space="0"/>
              <w:bottom w:val="single" w:color="000000" w:sz="6" w:space="0"/>
              <w:right w:val="single" w:color="000000" w:sz="6" w:space="0"/>
            </w:tcBorders>
            <w:vAlign w:val="bottom"/>
          </w:tcPr>
          <w:p w14:paraId="59C9ADC5">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国新国证鑫泰三个月定期开放债券型证券投资基金2025年基金产品资料概要更新</w:t>
            </w:r>
          </w:p>
        </w:tc>
        <w:tc>
          <w:tcPr>
            <w:tcW w:w="3402" w:type="dxa"/>
            <w:tcBorders>
              <w:top w:val="single" w:color="000000" w:sz="6" w:space="0"/>
              <w:left w:val="single" w:color="000000" w:sz="6" w:space="0"/>
              <w:bottom w:val="single" w:color="000000" w:sz="6" w:space="0"/>
              <w:right w:val="single" w:color="000000" w:sz="6" w:space="0"/>
            </w:tcBorders>
            <w:vAlign w:val="bottom"/>
          </w:tcPr>
          <w:p w14:paraId="767DE032">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2C9162CA">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2025-04-25</w:t>
            </w:r>
          </w:p>
        </w:tc>
      </w:tr>
      <w:tr w14:paraId="3E99400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0D7907FF">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p>
        </w:tc>
        <w:tc>
          <w:tcPr>
            <w:tcW w:w="2977" w:type="dxa"/>
            <w:tcBorders>
              <w:top w:val="single" w:color="000000" w:sz="6" w:space="0"/>
              <w:left w:val="single" w:color="auto" w:sz="4" w:space="0"/>
              <w:bottom w:val="single" w:color="000000" w:sz="6" w:space="0"/>
              <w:right w:val="single" w:color="000000" w:sz="6" w:space="0"/>
            </w:tcBorders>
            <w:vAlign w:val="bottom"/>
          </w:tcPr>
          <w:p w14:paraId="6BEF1888">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国新国证鑫泰三个月定期开放债券型证券投资基金招募说明书（更新）</w:t>
            </w:r>
          </w:p>
        </w:tc>
        <w:tc>
          <w:tcPr>
            <w:tcW w:w="3402" w:type="dxa"/>
            <w:tcBorders>
              <w:top w:val="single" w:color="000000" w:sz="6" w:space="0"/>
              <w:left w:val="single" w:color="000000" w:sz="6" w:space="0"/>
              <w:bottom w:val="single" w:color="000000" w:sz="6" w:space="0"/>
              <w:right w:val="single" w:color="000000" w:sz="6" w:space="0"/>
            </w:tcBorders>
            <w:vAlign w:val="bottom"/>
          </w:tcPr>
          <w:p w14:paraId="26A37788">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7A16BD55">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2025-04-25</w:t>
            </w:r>
          </w:p>
        </w:tc>
      </w:tr>
      <w:tr w14:paraId="20DDBFC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2FA4A6C3">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2977" w:type="dxa"/>
            <w:tcBorders>
              <w:top w:val="single" w:color="000000" w:sz="6" w:space="0"/>
              <w:left w:val="single" w:color="auto" w:sz="4" w:space="0"/>
              <w:bottom w:val="single" w:color="000000" w:sz="6" w:space="0"/>
              <w:right w:val="single" w:color="000000" w:sz="6" w:space="0"/>
            </w:tcBorders>
            <w:vAlign w:val="bottom"/>
          </w:tcPr>
          <w:p w14:paraId="365A6426">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国新国证鑫泰三个月定期开放债券型证券投资基金开放日常申购、赎回、转换业务的公告</w:t>
            </w:r>
          </w:p>
        </w:tc>
        <w:tc>
          <w:tcPr>
            <w:tcW w:w="3402" w:type="dxa"/>
            <w:tcBorders>
              <w:top w:val="single" w:color="000000" w:sz="6" w:space="0"/>
              <w:left w:val="single" w:color="000000" w:sz="6" w:space="0"/>
              <w:bottom w:val="single" w:color="000000" w:sz="6" w:space="0"/>
              <w:right w:val="single" w:color="000000" w:sz="6" w:space="0"/>
            </w:tcBorders>
            <w:vAlign w:val="center"/>
          </w:tcPr>
          <w:p w14:paraId="14E3FE12">
            <w:pPr>
              <w:keepNext w:val="0"/>
              <w:keepLines w:val="0"/>
              <w:widowControl/>
              <w:suppressLineNumbers w:val="0"/>
              <w:jc w:val="left"/>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基金管理人网站、中国证监会基金电子披露网站、中国证券报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4D3044AC">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2025-05-20</w:t>
            </w:r>
          </w:p>
        </w:tc>
      </w:tr>
      <w:tr w14:paraId="424F13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4429672A">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p>
        </w:tc>
        <w:tc>
          <w:tcPr>
            <w:tcW w:w="2977" w:type="dxa"/>
            <w:tcBorders>
              <w:top w:val="single" w:color="000000" w:sz="6" w:space="0"/>
              <w:left w:val="single" w:color="auto" w:sz="4" w:space="0"/>
              <w:bottom w:val="single" w:color="000000" w:sz="6" w:space="0"/>
              <w:right w:val="single" w:color="000000" w:sz="6" w:space="0"/>
            </w:tcBorders>
            <w:vAlign w:val="bottom"/>
          </w:tcPr>
          <w:p w14:paraId="3D981C31">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关于谨防假冒“国新国证基金”名义开展诈骗活动的风险提示</w:t>
            </w:r>
          </w:p>
        </w:tc>
        <w:tc>
          <w:tcPr>
            <w:tcW w:w="3402" w:type="dxa"/>
            <w:tcBorders>
              <w:top w:val="single" w:color="000000" w:sz="6" w:space="0"/>
              <w:left w:val="single" w:color="000000" w:sz="6" w:space="0"/>
              <w:bottom w:val="single" w:color="000000" w:sz="6" w:space="0"/>
              <w:right w:val="single" w:color="000000" w:sz="6" w:space="0"/>
            </w:tcBorders>
            <w:vAlign w:val="bottom"/>
          </w:tcPr>
          <w:p w14:paraId="23290F94">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759B6CF1">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2025-06-10</w:t>
            </w:r>
          </w:p>
        </w:tc>
      </w:tr>
      <w:tr w14:paraId="1DA2177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5EF4BB47">
            <w:pPr>
              <w:adjustRightInd w:val="0"/>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9</w:t>
            </w:r>
          </w:p>
        </w:tc>
        <w:tc>
          <w:tcPr>
            <w:tcW w:w="2977" w:type="dxa"/>
            <w:tcBorders>
              <w:top w:val="single" w:color="000000" w:sz="6" w:space="0"/>
              <w:left w:val="single" w:color="auto" w:sz="4" w:space="0"/>
              <w:bottom w:val="single" w:color="000000" w:sz="6" w:space="0"/>
              <w:right w:val="single" w:color="000000" w:sz="6" w:space="0"/>
            </w:tcBorders>
            <w:vAlign w:val="bottom"/>
          </w:tcPr>
          <w:p w14:paraId="7D1A5EDC">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国新国证基金管理有限公司关于董事会成员换届变更的公告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6ED34CEF">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68EC8A2A">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2025-07-02</w:t>
            </w:r>
          </w:p>
        </w:tc>
      </w:tr>
      <w:tr w14:paraId="715F9E3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242C0C5F">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w:t>
            </w:r>
          </w:p>
        </w:tc>
        <w:tc>
          <w:tcPr>
            <w:tcW w:w="2977" w:type="dxa"/>
            <w:tcBorders>
              <w:top w:val="single" w:color="000000" w:sz="6" w:space="0"/>
              <w:left w:val="single" w:color="auto" w:sz="4" w:space="0"/>
              <w:bottom w:val="single" w:color="000000" w:sz="6" w:space="0"/>
              <w:right w:val="single" w:color="000000" w:sz="6" w:space="0"/>
            </w:tcBorders>
            <w:vAlign w:val="bottom"/>
          </w:tcPr>
          <w:p w14:paraId="616C24F4">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国新国证鑫泰三个月定期开放债券型证券投资基金2025年第二季度报告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3FA804B4">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198388BE">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2025-07-21</w:t>
            </w:r>
          </w:p>
        </w:tc>
      </w:tr>
      <w:tr w14:paraId="4903D66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181F8456">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w:t>
            </w:r>
          </w:p>
        </w:tc>
        <w:tc>
          <w:tcPr>
            <w:tcW w:w="2977" w:type="dxa"/>
            <w:tcBorders>
              <w:top w:val="single" w:color="000000" w:sz="6" w:space="0"/>
              <w:left w:val="single" w:color="auto" w:sz="4" w:space="0"/>
              <w:bottom w:val="single" w:color="000000" w:sz="6" w:space="0"/>
              <w:right w:val="single" w:color="000000" w:sz="6" w:space="0"/>
            </w:tcBorders>
            <w:vAlign w:val="bottom"/>
          </w:tcPr>
          <w:p w14:paraId="0C408C7C">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国新国证基金管理有限公司旗下基金2025年第二季度报告提示性公告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3A64699A">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中国证券报、证券时报、上海证券报、证券日报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59D27C17">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2025-07-21</w:t>
            </w:r>
          </w:p>
        </w:tc>
      </w:tr>
      <w:tr w14:paraId="0B306AE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19C78469">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12</w:t>
            </w:r>
          </w:p>
        </w:tc>
        <w:tc>
          <w:tcPr>
            <w:tcW w:w="2977" w:type="dxa"/>
            <w:tcBorders>
              <w:top w:val="single" w:color="000000" w:sz="6" w:space="0"/>
              <w:left w:val="single" w:color="auto" w:sz="4" w:space="0"/>
              <w:bottom w:val="single" w:color="000000" w:sz="6" w:space="0"/>
              <w:right w:val="single" w:color="000000" w:sz="6" w:space="0"/>
            </w:tcBorders>
            <w:vAlign w:val="bottom"/>
          </w:tcPr>
          <w:p w14:paraId="0AFA692C">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国新国证鑫泰三个月定期开放债券型证券投资基金开放日常申购、赎回、转换业务的公告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56CFA833">
            <w:pPr>
              <w:keepNext w:val="0"/>
              <w:keepLines w:val="0"/>
              <w:widowControl/>
              <w:suppressLineNumbers w:val="0"/>
              <w:jc w:val="left"/>
              <w:textAlignment w:val="bottom"/>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基金管理人网站、中国证监会基金电子披露网站、中国证券报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6853F825">
            <w:pPr>
              <w:keepNext w:val="0"/>
              <w:keepLines w:val="0"/>
              <w:widowControl/>
              <w:suppressLineNumbers w:val="0"/>
              <w:jc w:val="center"/>
              <w:textAlignment w:val="center"/>
              <w:rPr>
                <w:rFonts w:ascii="仿宋_GB2312" w:hAnsi="仿宋_GB2312" w:eastAsia="仿宋_GB2312" w:cs="仿宋_GB2312"/>
                <w:sz w:val="24"/>
                <w:szCs w:val="24"/>
              </w:rPr>
            </w:pPr>
            <w:r>
              <w:rPr>
                <w:rFonts w:hint="eastAsia" w:ascii="宋体" w:hAnsi="宋体" w:eastAsia="宋体" w:cs="宋体"/>
                <w:i w:val="0"/>
                <w:color w:val="000000"/>
                <w:kern w:val="0"/>
                <w:sz w:val="22"/>
                <w:szCs w:val="22"/>
                <w:u w:val="none"/>
                <w:lang w:val="en-US" w:eastAsia="zh-CN" w:bidi="ar"/>
              </w:rPr>
              <w:t>2025-08-22</w:t>
            </w:r>
          </w:p>
        </w:tc>
      </w:tr>
      <w:tr w14:paraId="2E024F8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16ED7B52">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13</w:t>
            </w:r>
          </w:p>
        </w:tc>
        <w:tc>
          <w:tcPr>
            <w:tcW w:w="2977" w:type="dxa"/>
            <w:tcBorders>
              <w:top w:val="single" w:color="000000" w:sz="6" w:space="0"/>
              <w:left w:val="single" w:color="auto" w:sz="4" w:space="0"/>
              <w:bottom w:val="single" w:color="000000" w:sz="6" w:space="0"/>
              <w:right w:val="single" w:color="000000" w:sz="6" w:space="0"/>
            </w:tcBorders>
            <w:vAlign w:val="bottom"/>
          </w:tcPr>
          <w:p w14:paraId="0E8CE984">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国新国证基金管理有限公司基金行业高级管理人员变更公告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12094210">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基金管理人网站、中国证监会基金电子披露网站、中国证券报、证券时报、上海证券报、证券日报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5872BC52">
            <w:pPr>
              <w:keepNext w:val="0"/>
              <w:keepLines w:val="0"/>
              <w:widowControl/>
              <w:suppressLineNumbers w:val="0"/>
              <w:jc w:val="center"/>
              <w:textAlignment w:val="center"/>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2025-08-28</w:t>
            </w:r>
          </w:p>
        </w:tc>
      </w:tr>
      <w:tr w14:paraId="08DAA1E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75C2593F">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2977" w:type="dxa"/>
            <w:tcBorders>
              <w:top w:val="single" w:color="000000" w:sz="6" w:space="0"/>
              <w:left w:val="single" w:color="auto" w:sz="4" w:space="0"/>
              <w:bottom w:val="single" w:color="000000" w:sz="6" w:space="0"/>
              <w:right w:val="single" w:color="000000" w:sz="6" w:space="0"/>
            </w:tcBorders>
            <w:vAlign w:val="bottom"/>
          </w:tcPr>
          <w:p w14:paraId="5FE747CE">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国新国证鑫泰三个月定期开放债券型证券投资基金2025年中期报告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21B7F62D">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5BE7D3CE">
            <w:pPr>
              <w:keepNext w:val="0"/>
              <w:keepLines w:val="0"/>
              <w:widowControl/>
              <w:suppressLineNumbers w:val="0"/>
              <w:jc w:val="center"/>
              <w:textAlignment w:val="center"/>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2025-08-29</w:t>
            </w:r>
          </w:p>
        </w:tc>
      </w:tr>
      <w:tr w14:paraId="0627EDD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309FC7CA">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c>
          <w:tcPr>
            <w:tcW w:w="2977" w:type="dxa"/>
            <w:tcBorders>
              <w:top w:val="single" w:color="000000" w:sz="6" w:space="0"/>
              <w:left w:val="single" w:color="auto" w:sz="4" w:space="0"/>
              <w:bottom w:val="single" w:color="000000" w:sz="6" w:space="0"/>
              <w:right w:val="single" w:color="000000" w:sz="6" w:space="0"/>
            </w:tcBorders>
            <w:vAlign w:val="bottom"/>
          </w:tcPr>
          <w:p w14:paraId="0F350AF3">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国新国证基金管理有限公司旗下基金2025年中期报告提示性公告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31CD28A6">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中国证券报、证券时报、上海证券报、证券日报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3A850EE0">
            <w:pPr>
              <w:keepNext w:val="0"/>
              <w:keepLines w:val="0"/>
              <w:widowControl/>
              <w:suppressLineNumbers w:val="0"/>
              <w:jc w:val="center"/>
              <w:textAlignment w:val="center"/>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2025-08-29</w:t>
            </w:r>
          </w:p>
        </w:tc>
      </w:tr>
      <w:tr w14:paraId="3EB63E5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54D19AB2">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2977" w:type="dxa"/>
            <w:tcBorders>
              <w:top w:val="single" w:color="000000" w:sz="6" w:space="0"/>
              <w:left w:val="single" w:color="auto" w:sz="4" w:space="0"/>
              <w:bottom w:val="single" w:color="000000" w:sz="6" w:space="0"/>
              <w:right w:val="single" w:color="000000" w:sz="6" w:space="0"/>
            </w:tcBorders>
            <w:vAlign w:val="bottom"/>
          </w:tcPr>
          <w:p w14:paraId="76FA78DB">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国新国证鑫泰三个月定期开放债券型证券投资基金2025年第三季度报告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1C8467BF">
            <w:pPr>
              <w:keepNext w:val="0"/>
              <w:keepLines w:val="0"/>
              <w:widowControl/>
              <w:suppressLineNumbers w:val="0"/>
              <w:jc w:val="left"/>
              <w:textAlignment w:val="bottom"/>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1B8B21AE">
            <w:pPr>
              <w:keepNext w:val="0"/>
              <w:keepLines w:val="0"/>
              <w:widowControl/>
              <w:suppressLineNumbers w:val="0"/>
              <w:jc w:val="center"/>
              <w:textAlignment w:val="center"/>
              <w:rPr>
                <w:rStyle w:val="27"/>
                <w:rFonts w:ascii="仿宋_GB2312" w:hAnsi="仿宋_GB2312" w:eastAsia="仿宋_GB2312" w:cs="仿宋_GB2312"/>
                <w:color w:val="auto"/>
                <w:sz w:val="24"/>
                <w:szCs w:val="24"/>
                <w:u w:val="none"/>
              </w:rPr>
            </w:pPr>
            <w:r>
              <w:rPr>
                <w:rFonts w:hint="eastAsia" w:ascii="宋体" w:hAnsi="宋体" w:eastAsia="宋体" w:cs="宋体"/>
                <w:i w:val="0"/>
                <w:color w:val="000000"/>
                <w:kern w:val="0"/>
                <w:sz w:val="22"/>
                <w:szCs w:val="22"/>
                <w:u w:val="none"/>
                <w:lang w:val="en-US" w:eastAsia="zh-CN" w:bidi="ar"/>
              </w:rPr>
              <w:t>2025-10-28</w:t>
            </w:r>
          </w:p>
        </w:tc>
      </w:tr>
      <w:tr w14:paraId="479F5EB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22E23417">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2977" w:type="dxa"/>
            <w:tcBorders>
              <w:top w:val="single" w:color="000000" w:sz="6" w:space="0"/>
              <w:left w:val="single" w:color="auto" w:sz="4" w:space="0"/>
              <w:bottom w:val="single" w:color="000000" w:sz="6" w:space="0"/>
              <w:right w:val="single" w:color="000000" w:sz="6" w:space="0"/>
            </w:tcBorders>
            <w:vAlign w:val="bottom"/>
          </w:tcPr>
          <w:p w14:paraId="48C8A9E5">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国新国证基金管理有限公司旗下基金2025年第三季度报告提示性公告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682BCCEF">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中国证券报、证券时报、上海证券报、证券日报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28EBD6BE">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2025-10-28</w:t>
            </w:r>
          </w:p>
        </w:tc>
      </w:tr>
      <w:tr w14:paraId="5704C22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31139881">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2977" w:type="dxa"/>
            <w:tcBorders>
              <w:top w:val="single" w:color="000000" w:sz="6" w:space="0"/>
              <w:left w:val="single" w:color="auto" w:sz="4" w:space="0"/>
              <w:bottom w:val="single" w:color="000000" w:sz="6" w:space="0"/>
              <w:right w:val="single" w:color="000000" w:sz="6" w:space="0"/>
            </w:tcBorders>
            <w:vAlign w:val="bottom"/>
          </w:tcPr>
          <w:p w14:paraId="35AF1E3C">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国新国证鑫泰三个月定期开放债券型证券投资基金开放日常申购、赎回、转换业务的公告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5A13A330">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基金管理人网站、中国证监会基金电子披露网站、中国证券报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25F8CC6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2025-11-26</w:t>
            </w:r>
          </w:p>
        </w:tc>
      </w:tr>
      <w:tr w14:paraId="4835147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2F1F523C">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19</w:t>
            </w:r>
          </w:p>
        </w:tc>
        <w:tc>
          <w:tcPr>
            <w:tcW w:w="2977" w:type="dxa"/>
            <w:tcBorders>
              <w:top w:val="single" w:color="000000" w:sz="6" w:space="0"/>
              <w:left w:val="single" w:color="auto" w:sz="4" w:space="0"/>
              <w:bottom w:val="single" w:color="000000" w:sz="6" w:space="0"/>
              <w:right w:val="single" w:color="000000" w:sz="6" w:space="0"/>
            </w:tcBorders>
            <w:vAlign w:val="bottom"/>
          </w:tcPr>
          <w:p w14:paraId="45DBC419">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国新国证基金管理有限公司关于提醒投资者警惕不法分子冒用本公司名义进行诈骗活动的公告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21E18DC7">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基金管理人网站、中国证监会基金电子披露网站、中国证券报、证券时报、上海证券报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2E57B20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2025-12-31</w:t>
            </w:r>
          </w:p>
        </w:tc>
      </w:tr>
      <w:tr w14:paraId="248621B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65164590">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2977" w:type="dxa"/>
            <w:tcBorders>
              <w:top w:val="single" w:color="000000" w:sz="6" w:space="0"/>
              <w:left w:val="single" w:color="auto" w:sz="4" w:space="0"/>
              <w:bottom w:val="single" w:color="000000" w:sz="6" w:space="0"/>
              <w:right w:val="single" w:color="000000" w:sz="6" w:space="0"/>
            </w:tcBorders>
            <w:vAlign w:val="bottom"/>
          </w:tcPr>
          <w:p w14:paraId="6E760A0B">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国新国证鑫泰三个月定期开放债券型证券投资基金2025年第四季度报告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7192D7F8">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47C6B4C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2026-01-22</w:t>
            </w:r>
          </w:p>
        </w:tc>
      </w:tr>
      <w:tr w14:paraId="4E33919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6B6FD0A1">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2977" w:type="dxa"/>
            <w:tcBorders>
              <w:top w:val="single" w:color="000000" w:sz="6" w:space="0"/>
              <w:left w:val="single" w:color="auto" w:sz="4" w:space="0"/>
              <w:bottom w:val="single" w:color="000000" w:sz="6" w:space="0"/>
              <w:right w:val="single" w:color="000000" w:sz="6" w:space="0"/>
            </w:tcBorders>
            <w:vAlign w:val="bottom"/>
          </w:tcPr>
          <w:p w14:paraId="1FAD670F">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国新国证基金管理有限公司旗下基金2025年第四季度报告提示性公告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15C4A732">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中国证券报、证券时报、上海证券报、证券日报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6EFFF1F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2026-01-22</w:t>
            </w:r>
          </w:p>
        </w:tc>
      </w:tr>
      <w:tr w14:paraId="7714FA6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1ED95E10">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22</w:t>
            </w:r>
          </w:p>
        </w:tc>
        <w:tc>
          <w:tcPr>
            <w:tcW w:w="2977" w:type="dxa"/>
            <w:tcBorders>
              <w:top w:val="single" w:color="000000" w:sz="6" w:space="0"/>
              <w:left w:val="single" w:color="auto" w:sz="4" w:space="0"/>
              <w:bottom w:val="single" w:color="000000" w:sz="6" w:space="0"/>
              <w:right w:val="single" w:color="000000" w:sz="6" w:space="0"/>
            </w:tcBorders>
            <w:vAlign w:val="bottom"/>
          </w:tcPr>
          <w:p w14:paraId="3B17EB7E">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国新国证鑫泰三个月定期开放债券型证券投资基金开放日常申购、赎回、转换业务的公告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2CA113DD">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基金管理人网站、中国证监会基金电子披露网站、中国证券报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2C65FA2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2026-02-28</w:t>
            </w:r>
          </w:p>
        </w:tc>
      </w:tr>
      <w:tr w14:paraId="7195FEE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34D26F5E">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23</w:t>
            </w:r>
          </w:p>
        </w:tc>
        <w:tc>
          <w:tcPr>
            <w:tcW w:w="2977" w:type="dxa"/>
            <w:tcBorders>
              <w:top w:val="single" w:color="000000" w:sz="6" w:space="0"/>
              <w:left w:val="single" w:color="auto" w:sz="4" w:space="0"/>
              <w:bottom w:val="single" w:color="000000" w:sz="6" w:space="0"/>
              <w:right w:val="single" w:color="000000" w:sz="6" w:space="0"/>
            </w:tcBorders>
            <w:vAlign w:val="bottom"/>
          </w:tcPr>
          <w:p w14:paraId="1BD22929">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国新国证基金管理有限公司关于暂停网上交易的公告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6748F7FC">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3A60477B">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2026-03-13</w:t>
            </w:r>
          </w:p>
        </w:tc>
      </w:tr>
      <w:tr w14:paraId="7761045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76FB074F">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w:t>
            </w:r>
          </w:p>
        </w:tc>
        <w:tc>
          <w:tcPr>
            <w:tcW w:w="2977" w:type="dxa"/>
            <w:tcBorders>
              <w:top w:val="single" w:color="000000" w:sz="6" w:space="0"/>
              <w:left w:val="single" w:color="auto" w:sz="4" w:space="0"/>
              <w:bottom w:val="single" w:color="000000" w:sz="6" w:space="0"/>
              <w:right w:val="single" w:color="000000" w:sz="6" w:space="0"/>
            </w:tcBorders>
            <w:vAlign w:val="bottom"/>
          </w:tcPr>
          <w:p w14:paraId="65496A6F">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国新国证鑫泰三个月定期开放债券型证券投资基金2025年年度报告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2A814E3F">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基金管理人网站、中国证监会基金电子披露网站</w:t>
            </w:r>
          </w:p>
        </w:tc>
        <w:tc>
          <w:tcPr>
            <w:tcW w:w="1570" w:type="dxa"/>
            <w:tcBorders>
              <w:top w:val="single" w:color="000000" w:sz="6" w:space="0"/>
              <w:left w:val="single" w:color="000000" w:sz="6" w:space="0"/>
              <w:bottom w:val="single" w:color="000000" w:sz="6" w:space="0"/>
              <w:right w:val="single" w:color="000000" w:sz="6" w:space="0"/>
            </w:tcBorders>
            <w:vAlign w:val="center"/>
          </w:tcPr>
          <w:p w14:paraId="7E52699B">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2026-03-31</w:t>
            </w:r>
          </w:p>
        </w:tc>
      </w:tr>
      <w:tr w14:paraId="7C2348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709" w:type="dxa"/>
            <w:tcBorders>
              <w:top w:val="single" w:color="000000" w:sz="6" w:space="0"/>
              <w:left w:val="single" w:color="000000" w:sz="4" w:space="0"/>
              <w:bottom w:val="single" w:color="000000" w:sz="6" w:space="0"/>
              <w:right w:val="single" w:color="auto" w:sz="4" w:space="0"/>
            </w:tcBorders>
            <w:vAlign w:val="center"/>
          </w:tcPr>
          <w:p w14:paraId="3434B78E">
            <w:pPr>
              <w:adjustRightInd w:val="0"/>
              <w:snapToGrid w:val="0"/>
              <w:spacing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25</w:t>
            </w:r>
          </w:p>
        </w:tc>
        <w:tc>
          <w:tcPr>
            <w:tcW w:w="2977" w:type="dxa"/>
            <w:tcBorders>
              <w:top w:val="single" w:color="000000" w:sz="6" w:space="0"/>
              <w:left w:val="single" w:color="auto" w:sz="4" w:space="0"/>
              <w:bottom w:val="single" w:color="000000" w:sz="6" w:space="0"/>
              <w:right w:val="single" w:color="000000" w:sz="6" w:space="0"/>
            </w:tcBorders>
            <w:vAlign w:val="bottom"/>
          </w:tcPr>
          <w:p w14:paraId="0B988BB5">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国新国证基金管理有限公司旗下基金2025年年度报告提示性公告</w:t>
            </w:r>
          </w:p>
        </w:tc>
        <w:tc>
          <w:tcPr>
            <w:tcW w:w="3402" w:type="dxa"/>
            <w:tcBorders>
              <w:top w:val="single" w:color="000000" w:sz="6" w:space="0"/>
              <w:left w:val="single" w:color="000000" w:sz="6" w:space="0"/>
              <w:bottom w:val="single" w:color="000000" w:sz="6" w:space="0"/>
              <w:right w:val="single" w:color="000000" w:sz="6" w:space="0"/>
            </w:tcBorders>
            <w:vAlign w:val="bottom"/>
          </w:tcPr>
          <w:p w14:paraId="6F3070F8">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中国证券报、证券时报、上海证券报、证券日报</w:t>
            </w:r>
          </w:p>
        </w:tc>
        <w:tc>
          <w:tcPr>
            <w:tcW w:w="1570" w:type="dxa"/>
            <w:tcBorders>
              <w:top w:val="single" w:color="000000" w:sz="6" w:space="0"/>
              <w:left w:val="single" w:color="000000" w:sz="6" w:space="0"/>
              <w:bottom w:val="single" w:color="000000" w:sz="6" w:space="0"/>
              <w:right w:val="single" w:color="000000" w:sz="6" w:space="0"/>
            </w:tcBorders>
            <w:vAlign w:val="center"/>
          </w:tcPr>
          <w:p w14:paraId="717A56C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2026-03-31</w:t>
            </w:r>
          </w:p>
        </w:tc>
      </w:tr>
    </w:tbl>
    <w:p w14:paraId="70645016">
      <w:pPr>
        <w:adjustRightInd w:val="0"/>
        <w:snapToGrid w:val="0"/>
        <w:spacing w:line="360" w:lineRule="auto"/>
        <w:ind w:firstLine="480" w:firstLineChars="200"/>
        <w:rPr>
          <w:rFonts w:ascii="仿宋_GB2312" w:hAnsi="宋体" w:eastAsia="仿宋_GB2312" w:cs="宋体"/>
          <w:sz w:val="24"/>
          <w:szCs w:val="24"/>
        </w:rPr>
      </w:pPr>
    </w:p>
    <w:p w14:paraId="14F50175">
      <w:pPr>
        <w:rPr>
          <w:lang w:eastAsia="zh-CN"/>
        </w:rPr>
        <w:sectPr>
          <w:pgSz w:w="11910" w:h="16840"/>
          <w:pgMar w:top="1440" w:right="1800" w:bottom="1440" w:left="1800" w:header="873" w:footer="991" w:gutter="0"/>
          <w:cols w:space="720" w:num="1"/>
        </w:sectPr>
      </w:pPr>
    </w:p>
    <w:p w14:paraId="311BD4B1">
      <w:pPr>
        <w:pStyle w:val="7"/>
        <w:spacing w:before="7"/>
        <w:rPr>
          <w:sz w:val="12"/>
          <w:lang w:eastAsia="zh-CN"/>
        </w:rPr>
      </w:pPr>
    </w:p>
    <w:p w14:paraId="50F2B360">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168" w:name="_bookmark24"/>
      <w:bookmarkEnd w:id="168"/>
      <w:bookmarkStart w:id="169" w:name="_Toc69831263"/>
      <w:r>
        <w:rPr>
          <w:rFonts w:ascii="Times New Roman" w:hAnsi="Times New Roman" w:cs="Times New Roman"/>
          <w:b/>
          <w:szCs w:val="20"/>
          <w:lang w:eastAsia="zh-CN" w:bidi="ar-SA"/>
        </w:rPr>
        <w:t>第二十</w:t>
      </w:r>
      <w:r>
        <w:rPr>
          <w:rFonts w:hint="eastAsia" w:ascii="Times New Roman" w:hAnsi="Times New Roman" w:cs="Times New Roman"/>
          <w:b/>
          <w:szCs w:val="20"/>
          <w:lang w:eastAsia="zh-CN" w:bidi="ar-SA"/>
        </w:rPr>
        <w:t>五</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招募说明书的存放及查阅方式</w:t>
      </w:r>
      <w:bookmarkEnd w:id="169"/>
    </w:p>
    <w:p w14:paraId="778788E9">
      <w:pPr>
        <w:spacing w:line="360" w:lineRule="auto"/>
        <w:ind w:firstLine="480" w:firstLineChars="200"/>
        <w:rPr>
          <w:bCs/>
          <w:color w:val="000000"/>
          <w:sz w:val="24"/>
          <w:lang w:eastAsia="zh-CN"/>
        </w:rPr>
      </w:pPr>
    </w:p>
    <w:p w14:paraId="50224DF1">
      <w:pPr>
        <w:spacing w:line="360" w:lineRule="auto"/>
        <w:ind w:firstLine="480" w:firstLineChars="200"/>
        <w:rPr>
          <w:bCs/>
          <w:color w:val="000000"/>
          <w:sz w:val="24"/>
          <w:lang w:eastAsia="zh-CN"/>
        </w:rPr>
      </w:pPr>
      <w:r>
        <w:rPr>
          <w:rFonts w:hint="eastAsia"/>
          <w:bCs/>
          <w:color w:val="000000"/>
          <w:sz w:val="24"/>
          <w:lang w:eastAsia="zh-CN"/>
        </w:rPr>
        <w:t>本基金招募说明书存放在基金管理人、基金托管人的办公场所</w:t>
      </w:r>
      <w:r>
        <w:rPr>
          <w:rFonts w:hint="eastAsia"/>
          <w:bCs/>
          <w:color w:val="000000"/>
          <w:sz w:val="24"/>
          <w:lang w:val="en-US" w:eastAsia="zh-CN"/>
        </w:rPr>
        <w:t>或</w:t>
      </w:r>
      <w:r>
        <w:rPr>
          <w:rFonts w:hint="eastAsia"/>
          <w:bCs/>
          <w:color w:val="000000"/>
          <w:sz w:val="24"/>
          <w:lang w:eastAsia="zh-CN"/>
        </w:rPr>
        <w:t>营业场所、基金销售机构，投资人可免费查阅。在支付工本费后，可在合理时间内取得上述文件的复制件或复印件。</w:t>
      </w:r>
    </w:p>
    <w:p w14:paraId="0047A87F">
      <w:pPr>
        <w:spacing w:line="268" w:lineRule="exact"/>
        <w:rPr>
          <w:lang w:eastAsia="zh-CN"/>
        </w:rPr>
      </w:pPr>
    </w:p>
    <w:p w14:paraId="370AA712">
      <w:pPr>
        <w:spacing w:line="268" w:lineRule="exact"/>
        <w:rPr>
          <w:lang w:eastAsia="zh-CN"/>
        </w:rPr>
        <w:sectPr>
          <w:pgSz w:w="11910" w:h="16840"/>
          <w:pgMar w:top="1440" w:right="1800" w:bottom="1440" w:left="1800" w:header="873" w:footer="991" w:gutter="0"/>
          <w:cols w:space="720" w:num="1"/>
        </w:sectPr>
      </w:pPr>
    </w:p>
    <w:p w14:paraId="012F27EE">
      <w:pPr>
        <w:pStyle w:val="7"/>
        <w:spacing w:before="7"/>
        <w:rPr>
          <w:sz w:val="12"/>
          <w:lang w:eastAsia="zh-CN"/>
        </w:rPr>
      </w:pPr>
    </w:p>
    <w:p w14:paraId="5116AC84">
      <w:pPr>
        <w:pStyle w:val="2"/>
        <w:keepNext/>
        <w:keepLines/>
        <w:autoSpaceDE/>
        <w:autoSpaceDN/>
        <w:spacing w:before="0" w:line="360" w:lineRule="auto"/>
        <w:ind w:left="0"/>
        <w:jc w:val="center"/>
        <w:rPr>
          <w:rFonts w:ascii="Times New Roman" w:hAnsi="Times New Roman" w:cs="Times New Roman"/>
          <w:b/>
          <w:szCs w:val="20"/>
          <w:lang w:eastAsia="zh-CN" w:bidi="ar-SA"/>
        </w:rPr>
      </w:pPr>
      <w:bookmarkStart w:id="170" w:name="_bookmark25"/>
      <w:bookmarkEnd w:id="170"/>
      <w:bookmarkStart w:id="171" w:name="_Toc69831264"/>
      <w:r>
        <w:rPr>
          <w:rFonts w:ascii="Times New Roman" w:hAnsi="Times New Roman" w:cs="Times New Roman"/>
          <w:b/>
          <w:szCs w:val="20"/>
          <w:lang w:eastAsia="zh-CN" w:bidi="ar-SA"/>
        </w:rPr>
        <w:t>第二十</w:t>
      </w:r>
      <w:r>
        <w:rPr>
          <w:rFonts w:hint="eastAsia" w:ascii="Times New Roman" w:hAnsi="Times New Roman" w:cs="Times New Roman"/>
          <w:b/>
          <w:szCs w:val="20"/>
          <w:lang w:eastAsia="zh-CN" w:bidi="ar-SA"/>
        </w:rPr>
        <w:t>六</w:t>
      </w:r>
      <w:r>
        <w:rPr>
          <w:rFonts w:ascii="Times New Roman" w:hAnsi="Times New Roman" w:cs="Times New Roman"/>
          <w:b/>
          <w:szCs w:val="20"/>
          <w:lang w:eastAsia="zh-CN" w:bidi="ar-SA"/>
        </w:rPr>
        <w:t>部分</w:t>
      </w:r>
      <w:r>
        <w:rPr>
          <w:rFonts w:hint="eastAsia" w:ascii="Times New Roman" w:hAnsi="Times New Roman" w:cs="Times New Roman"/>
          <w:b/>
          <w:szCs w:val="20"/>
          <w:lang w:eastAsia="zh-CN" w:bidi="ar-SA"/>
        </w:rPr>
        <w:t xml:space="preserve">  </w:t>
      </w:r>
      <w:r>
        <w:rPr>
          <w:rFonts w:ascii="Times New Roman" w:hAnsi="Times New Roman" w:cs="Times New Roman"/>
          <w:b/>
          <w:szCs w:val="20"/>
          <w:lang w:eastAsia="zh-CN" w:bidi="ar-SA"/>
        </w:rPr>
        <w:t>备查文件</w:t>
      </w:r>
      <w:bookmarkEnd w:id="171"/>
    </w:p>
    <w:p w14:paraId="51BB2D9F">
      <w:pPr>
        <w:pStyle w:val="7"/>
        <w:spacing w:before="6"/>
        <w:rPr>
          <w:sz w:val="42"/>
          <w:lang w:eastAsia="zh-CN"/>
        </w:rPr>
      </w:pPr>
    </w:p>
    <w:p w14:paraId="5A08501B">
      <w:pPr>
        <w:spacing w:line="360" w:lineRule="auto"/>
        <w:ind w:firstLine="480" w:firstLineChars="200"/>
        <w:rPr>
          <w:bCs/>
          <w:color w:val="000000"/>
          <w:sz w:val="24"/>
          <w:lang w:eastAsia="zh-CN"/>
        </w:rPr>
      </w:pPr>
      <w:r>
        <w:rPr>
          <w:bCs/>
          <w:color w:val="000000"/>
          <w:sz w:val="24"/>
          <w:lang w:eastAsia="zh-CN"/>
        </w:rPr>
        <w:t>1、中国证监会准予</w:t>
      </w:r>
      <w:r>
        <w:rPr>
          <w:rFonts w:hint="eastAsia"/>
          <w:bCs/>
          <w:color w:val="000000"/>
          <w:sz w:val="24"/>
          <w:lang w:eastAsia="zh-CN"/>
        </w:rPr>
        <w:t>国新国证鑫泰三个月定期开放债券型证券投资基金</w:t>
      </w:r>
      <w:r>
        <w:rPr>
          <w:bCs/>
          <w:color w:val="000000"/>
          <w:sz w:val="24"/>
          <w:lang w:eastAsia="zh-CN"/>
        </w:rPr>
        <w:t>注册的文件；</w:t>
      </w:r>
    </w:p>
    <w:p w14:paraId="660031FF">
      <w:pPr>
        <w:spacing w:line="360" w:lineRule="auto"/>
        <w:ind w:firstLine="480" w:firstLineChars="200"/>
        <w:rPr>
          <w:bCs/>
          <w:color w:val="000000"/>
          <w:sz w:val="24"/>
          <w:lang w:eastAsia="zh-CN"/>
        </w:rPr>
      </w:pPr>
      <w:r>
        <w:rPr>
          <w:bCs/>
          <w:color w:val="000000"/>
          <w:sz w:val="24"/>
          <w:lang w:eastAsia="zh-CN"/>
        </w:rPr>
        <w:t>2、《</w:t>
      </w:r>
      <w:r>
        <w:rPr>
          <w:rFonts w:hint="eastAsia"/>
          <w:bCs/>
          <w:color w:val="000000"/>
          <w:sz w:val="24"/>
          <w:lang w:eastAsia="zh-CN"/>
        </w:rPr>
        <w:t>国新国证鑫泰三个月定期开放债券型证券投资基金</w:t>
      </w:r>
      <w:r>
        <w:rPr>
          <w:bCs/>
          <w:color w:val="000000"/>
          <w:sz w:val="24"/>
          <w:lang w:eastAsia="zh-CN"/>
        </w:rPr>
        <w:t>基金合同》；</w:t>
      </w:r>
    </w:p>
    <w:p w14:paraId="4C5EAA8C">
      <w:pPr>
        <w:spacing w:line="360" w:lineRule="auto"/>
        <w:ind w:firstLine="480" w:firstLineChars="200"/>
        <w:rPr>
          <w:bCs/>
          <w:color w:val="000000"/>
          <w:sz w:val="24"/>
          <w:lang w:eastAsia="zh-CN"/>
        </w:rPr>
      </w:pPr>
      <w:r>
        <w:rPr>
          <w:rFonts w:hint="eastAsia"/>
          <w:bCs/>
          <w:color w:val="000000"/>
          <w:sz w:val="24"/>
          <w:lang w:eastAsia="zh-CN"/>
        </w:rPr>
        <w:t>3、</w:t>
      </w:r>
      <w:r>
        <w:rPr>
          <w:bCs/>
          <w:color w:val="000000"/>
          <w:sz w:val="24"/>
          <w:lang w:eastAsia="zh-CN"/>
        </w:rPr>
        <w:t>《</w:t>
      </w:r>
      <w:r>
        <w:rPr>
          <w:rFonts w:hint="eastAsia"/>
          <w:bCs/>
          <w:color w:val="000000"/>
          <w:sz w:val="24"/>
          <w:lang w:eastAsia="zh-CN"/>
        </w:rPr>
        <w:t>国新国证鑫泰三个月定期开放债券型证券投资基金</w:t>
      </w:r>
      <w:r>
        <w:rPr>
          <w:bCs/>
          <w:color w:val="000000"/>
          <w:sz w:val="24"/>
          <w:lang w:eastAsia="zh-CN"/>
        </w:rPr>
        <w:t>托管协议》；</w:t>
      </w:r>
    </w:p>
    <w:p w14:paraId="68346FF8">
      <w:pPr>
        <w:spacing w:line="360" w:lineRule="auto"/>
        <w:ind w:firstLine="480" w:firstLineChars="200"/>
        <w:rPr>
          <w:bCs/>
          <w:color w:val="000000"/>
          <w:sz w:val="24"/>
          <w:lang w:eastAsia="zh-CN"/>
        </w:rPr>
      </w:pPr>
      <w:r>
        <w:rPr>
          <w:bCs/>
          <w:color w:val="000000"/>
          <w:sz w:val="24"/>
          <w:lang w:eastAsia="zh-CN"/>
        </w:rPr>
        <w:t>4、法律意见书；</w:t>
      </w:r>
    </w:p>
    <w:p w14:paraId="5CECCA33">
      <w:pPr>
        <w:spacing w:line="360" w:lineRule="auto"/>
        <w:ind w:firstLine="480" w:firstLineChars="200"/>
        <w:rPr>
          <w:bCs/>
          <w:color w:val="000000"/>
          <w:sz w:val="24"/>
          <w:lang w:eastAsia="zh-CN"/>
        </w:rPr>
      </w:pPr>
      <w:r>
        <w:rPr>
          <w:bCs/>
          <w:color w:val="000000"/>
          <w:sz w:val="24"/>
          <w:lang w:eastAsia="zh-CN"/>
        </w:rPr>
        <w:t>5、基金管理人业务资格批件、营业执照；</w:t>
      </w:r>
    </w:p>
    <w:p w14:paraId="1B6A4433">
      <w:pPr>
        <w:spacing w:line="360" w:lineRule="auto"/>
        <w:ind w:firstLine="480" w:firstLineChars="200"/>
        <w:rPr>
          <w:bCs/>
          <w:color w:val="000000"/>
          <w:sz w:val="24"/>
          <w:lang w:eastAsia="zh-CN"/>
        </w:rPr>
      </w:pPr>
      <w:r>
        <w:rPr>
          <w:bCs/>
          <w:color w:val="000000"/>
          <w:sz w:val="24"/>
          <w:lang w:eastAsia="zh-CN"/>
        </w:rPr>
        <w:t>6、基金托管人业务资格批件、营业执照</w:t>
      </w:r>
      <w:r>
        <w:rPr>
          <w:rFonts w:hint="eastAsia"/>
          <w:bCs/>
          <w:color w:val="000000"/>
          <w:sz w:val="24"/>
          <w:lang w:eastAsia="zh-CN"/>
        </w:rPr>
        <w:t>；</w:t>
      </w:r>
    </w:p>
    <w:p w14:paraId="03075019">
      <w:pPr>
        <w:spacing w:line="360" w:lineRule="auto"/>
        <w:ind w:firstLine="480" w:firstLineChars="200"/>
        <w:rPr>
          <w:bCs/>
          <w:color w:val="000000"/>
          <w:sz w:val="24"/>
          <w:lang w:eastAsia="zh-CN"/>
        </w:rPr>
      </w:pPr>
      <w:r>
        <w:rPr>
          <w:bCs/>
          <w:color w:val="000000"/>
          <w:sz w:val="24"/>
          <w:lang w:eastAsia="zh-CN"/>
        </w:rPr>
        <w:t>7</w:t>
      </w:r>
      <w:r>
        <w:rPr>
          <w:rFonts w:hint="eastAsia"/>
          <w:bCs/>
          <w:color w:val="000000"/>
          <w:sz w:val="24"/>
          <w:lang w:eastAsia="zh-CN"/>
        </w:rPr>
        <w:t>、中国证监会要求的其他文件。</w:t>
      </w:r>
    </w:p>
    <w:p w14:paraId="735FDD6F">
      <w:pPr>
        <w:spacing w:line="360" w:lineRule="auto"/>
        <w:ind w:firstLine="480" w:firstLineChars="200"/>
        <w:rPr>
          <w:bCs/>
          <w:color w:val="000000"/>
          <w:sz w:val="24"/>
          <w:lang w:eastAsia="zh-CN"/>
        </w:rPr>
      </w:pPr>
    </w:p>
    <w:p w14:paraId="6793BB63">
      <w:pPr>
        <w:spacing w:line="360" w:lineRule="auto"/>
        <w:ind w:firstLine="480" w:firstLineChars="200"/>
        <w:rPr>
          <w:bCs/>
          <w:color w:val="000000"/>
          <w:sz w:val="24"/>
          <w:lang w:eastAsia="zh-CN"/>
        </w:rPr>
      </w:pPr>
    </w:p>
    <w:p w14:paraId="516F2455">
      <w:pPr>
        <w:spacing w:line="360" w:lineRule="auto"/>
        <w:ind w:firstLine="480" w:firstLineChars="200"/>
        <w:jc w:val="right"/>
        <w:rPr>
          <w:bCs/>
          <w:color w:val="000000"/>
          <w:sz w:val="24"/>
          <w:lang w:eastAsia="zh-CN"/>
        </w:rPr>
      </w:pPr>
      <w:r>
        <w:rPr>
          <w:rFonts w:hint="eastAsia"/>
          <w:bCs/>
          <w:color w:val="000000"/>
          <w:sz w:val="24"/>
          <w:lang w:eastAsia="zh-CN"/>
        </w:rPr>
        <w:t>国新国证</w:t>
      </w:r>
      <w:r>
        <w:rPr>
          <w:bCs/>
          <w:color w:val="000000"/>
          <w:sz w:val="24"/>
          <w:lang w:eastAsia="zh-CN"/>
        </w:rPr>
        <w:t>基金管理有限公司</w:t>
      </w:r>
    </w:p>
    <w:p w14:paraId="183CA9E8">
      <w:pPr>
        <w:spacing w:line="360" w:lineRule="auto"/>
        <w:ind w:firstLine="480" w:firstLineChars="200"/>
        <w:jc w:val="right"/>
        <w:rPr>
          <w:bCs/>
          <w:color w:val="000000"/>
          <w:sz w:val="24"/>
          <w:lang w:eastAsia="zh-CN"/>
        </w:rPr>
      </w:pPr>
      <w:r>
        <w:rPr>
          <w:bCs/>
          <w:color w:val="000000"/>
          <w:sz w:val="24"/>
          <w:lang w:eastAsia="zh-CN"/>
        </w:rPr>
        <w:t>20</w:t>
      </w:r>
      <w:r>
        <w:rPr>
          <w:rFonts w:hint="eastAsia"/>
          <w:bCs/>
          <w:color w:val="000000"/>
          <w:sz w:val="24"/>
          <w:lang w:eastAsia="zh-CN"/>
        </w:rPr>
        <w:t>2</w:t>
      </w:r>
      <w:r>
        <w:rPr>
          <w:rFonts w:hint="eastAsia"/>
          <w:bCs/>
          <w:color w:val="000000"/>
          <w:sz w:val="24"/>
          <w:lang w:val="en-US" w:eastAsia="zh-CN"/>
        </w:rPr>
        <w:t>6</w:t>
      </w:r>
      <w:r>
        <w:rPr>
          <w:bCs/>
          <w:color w:val="000000"/>
          <w:sz w:val="24"/>
          <w:lang w:eastAsia="zh-CN"/>
        </w:rPr>
        <w:t>年</w:t>
      </w:r>
      <w:r>
        <w:rPr>
          <w:rFonts w:hint="default"/>
          <w:bCs/>
          <w:color w:val="000000"/>
          <w:sz w:val="24"/>
          <w:lang w:val="en-US" w:eastAsia="zh-CN"/>
        </w:rPr>
        <w:t>10</w:t>
      </w:r>
      <w:r>
        <w:rPr>
          <w:bCs/>
          <w:color w:val="000000"/>
          <w:sz w:val="24"/>
          <w:lang w:eastAsia="zh-CN"/>
        </w:rPr>
        <w:t>月</w:t>
      </w:r>
      <w:bookmarkStart w:id="172" w:name="_GoBack"/>
      <w:bookmarkEnd w:id="172"/>
      <w:r>
        <w:rPr>
          <w:rFonts w:hint="default"/>
          <w:bCs/>
          <w:color w:val="000000"/>
          <w:sz w:val="24"/>
          <w:lang w:val="en-US" w:eastAsia="zh-CN"/>
        </w:rPr>
        <w:t>9</w:t>
      </w:r>
      <w:r>
        <w:rPr>
          <w:bCs/>
          <w:color w:val="000000"/>
          <w:sz w:val="24"/>
          <w:lang w:eastAsia="zh-CN"/>
        </w:rPr>
        <w:t>日</w:t>
      </w:r>
    </w:p>
    <w:sectPr>
      <w:pgSz w:w="11910" w:h="16840"/>
      <w:pgMar w:top="1440" w:right="1800" w:bottom="1440" w:left="1800" w:header="873"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5897862"/>
    </w:sdtPr>
    <w:sdtEndPr>
      <w:rPr>
        <w:sz w:val="21"/>
        <w:szCs w:val="21"/>
      </w:rPr>
    </w:sdtEndPr>
    <w:sdtContent>
      <w:p w14:paraId="3DF8177C">
        <w:pPr>
          <w:pStyle w:val="15"/>
          <w:jc w:val="center"/>
          <w:rPr>
            <w:sz w:val="21"/>
            <w:szCs w:val="21"/>
            <w:lang w:eastAsia="zh-CN"/>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eastAsia="zh-CN"/>
          </w:rPr>
          <w:t>2</w:t>
        </w:r>
        <w:r>
          <w:rPr>
            <w:sz w:val="21"/>
            <w:szCs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C8C4C">
    <w:pPr>
      <w:pStyle w:val="15"/>
      <w:jc w:val="center"/>
      <w:rPr>
        <w:sz w:val="21"/>
      </w:rPr>
    </w:pPr>
    <w:sdt>
      <w:sdtPr>
        <w:rPr>
          <w:sz w:val="21"/>
        </w:rPr>
        <w:id w:val="-1701161851"/>
      </w:sdtPr>
      <w:sdtEndPr>
        <w:rPr>
          <w:sz w:val="21"/>
        </w:rPr>
      </w:sdtEndPr>
      <w:sdtContent>
        <w:r>
          <w:rPr>
            <w:sz w:val="21"/>
          </w:rPr>
          <w:fldChar w:fldCharType="begin"/>
        </w:r>
        <w:r>
          <w:rPr>
            <w:sz w:val="21"/>
          </w:rPr>
          <w:instrText xml:space="preserve">PAGE   \* MERGEFORMAT</w:instrText>
        </w:r>
        <w:r>
          <w:rPr>
            <w:sz w:val="21"/>
          </w:rPr>
          <w:fldChar w:fldCharType="separate"/>
        </w:r>
        <w:r>
          <w:rPr>
            <w:sz w:val="21"/>
            <w:lang w:val="zh-CN" w:eastAsia="zh-CN"/>
          </w:rPr>
          <w:t>3</w:t>
        </w:r>
        <w:r>
          <w:rPr>
            <w:sz w:val="21"/>
          </w:rPr>
          <w:fldChar w:fldCharType="end"/>
        </w:r>
      </w:sdtContent>
    </w:sdt>
  </w:p>
  <w:p w14:paraId="72871A7D">
    <w:pPr>
      <w:pStyle w:val="7"/>
      <w:spacing w:line="14" w:lineRule="auto"/>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B5983">
    <w:pPr>
      <w:pStyle w:val="15"/>
      <w:jc w:val="center"/>
      <w:rPr>
        <w:sz w:val="21"/>
      </w:rPr>
    </w:pPr>
    <w:sdt>
      <w:sdtPr>
        <w:rPr>
          <w:sz w:val="21"/>
        </w:rPr>
        <w:id w:val="480427232"/>
      </w:sdtPr>
      <w:sdtEndPr>
        <w:rPr>
          <w:sz w:val="21"/>
        </w:rPr>
      </w:sdtEndPr>
      <w:sdtContent>
        <w:r>
          <w:rPr>
            <w:sz w:val="21"/>
          </w:rPr>
          <w:fldChar w:fldCharType="begin"/>
        </w:r>
        <w:r>
          <w:rPr>
            <w:sz w:val="21"/>
          </w:rPr>
          <w:instrText xml:space="preserve">PAGE   \* MERGEFORMAT</w:instrText>
        </w:r>
        <w:r>
          <w:rPr>
            <w:sz w:val="21"/>
          </w:rPr>
          <w:fldChar w:fldCharType="separate"/>
        </w:r>
        <w:r>
          <w:rPr>
            <w:sz w:val="21"/>
            <w:lang w:val="zh-CN" w:eastAsia="zh-CN"/>
          </w:rPr>
          <w:t>4</w:t>
        </w:r>
        <w:r>
          <w:rPr>
            <w:sz w:val="21"/>
          </w:rPr>
          <w:fldChar w:fldCharType="end"/>
        </w:r>
      </w:sdtContent>
    </w:sdt>
  </w:p>
  <w:p w14:paraId="26D8D77C">
    <w:pPr>
      <w:pStyle w:val="7"/>
      <w:spacing w:line="14" w:lineRule="auto"/>
      <w:rPr>
        <w:sz w:val="2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B77C4">
    <w:pPr>
      <w:pStyle w:val="15"/>
      <w:jc w:val="center"/>
      <w:rPr>
        <w:sz w:val="21"/>
      </w:rPr>
    </w:pPr>
    <w:sdt>
      <w:sdtPr>
        <w:rPr>
          <w:sz w:val="21"/>
        </w:rPr>
        <w:id w:val="-1157989427"/>
      </w:sdtPr>
      <w:sdtEndPr>
        <w:rPr>
          <w:sz w:val="21"/>
        </w:rPr>
      </w:sdtEndPr>
      <w:sdtContent>
        <w:r>
          <w:rPr>
            <w:sz w:val="21"/>
          </w:rPr>
          <w:fldChar w:fldCharType="begin"/>
        </w:r>
        <w:r>
          <w:rPr>
            <w:sz w:val="21"/>
          </w:rPr>
          <w:instrText xml:space="preserve">PAGE   \* MERGEFORMAT</w:instrText>
        </w:r>
        <w:r>
          <w:rPr>
            <w:sz w:val="21"/>
          </w:rPr>
          <w:fldChar w:fldCharType="separate"/>
        </w:r>
        <w:r>
          <w:rPr>
            <w:sz w:val="21"/>
            <w:lang w:val="zh-CN" w:eastAsia="zh-CN"/>
          </w:rPr>
          <w:t>54</w:t>
        </w:r>
        <w:r>
          <w:rPr>
            <w:sz w:val="21"/>
          </w:rPr>
          <w:fldChar w:fldCharType="end"/>
        </w:r>
      </w:sdtContent>
    </w:sdt>
  </w:p>
  <w:p w14:paraId="1AFFE173">
    <w:pPr>
      <w:pStyle w:val="7"/>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88084">
    <w:pPr>
      <w:pStyle w:val="16"/>
      <w:rPr>
        <w:sz w:val="21"/>
        <w:lang w:eastAsia="zh-CN"/>
      </w:rPr>
    </w:pPr>
    <w:r>
      <w:rPr>
        <w:rFonts w:hint="eastAsia"/>
        <w:sz w:val="21"/>
        <w:lang w:eastAsia="zh-CN"/>
      </w:rPr>
      <w:t xml:space="preserve">国新国证鑫泰三个月定期开放债券型证券投资基金            </w:t>
    </w:r>
    <w:r>
      <w:rPr>
        <w:rFonts w:hint="eastAsia"/>
        <w:sz w:val="21"/>
        <w:lang w:val="en-US" w:eastAsia="zh-CN"/>
      </w:rPr>
      <w:t xml:space="preserve">    </w:t>
    </w:r>
    <w:r>
      <w:rPr>
        <w:rFonts w:hint="eastAsia"/>
        <w:sz w:val="21"/>
        <w:lang w:eastAsia="zh-CN"/>
      </w:rPr>
      <w:t>招募说明书（</w:t>
    </w:r>
    <w:r>
      <w:rPr>
        <w:rFonts w:hint="eastAsia"/>
        <w:sz w:val="21"/>
        <w:lang w:val="en-US" w:eastAsia="zh-CN"/>
      </w:rPr>
      <w:t>更新</w:t>
    </w:r>
    <w:r>
      <w:rPr>
        <w:rFonts w:hint="eastAsia"/>
        <w:sz w:val="21"/>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87C38">
    <w:pPr>
      <w:pStyle w:val="16"/>
      <w:rPr>
        <w:sz w:val="21"/>
        <w:lang w:eastAsia="zh-CN"/>
      </w:rPr>
    </w:pPr>
    <w:r>
      <w:rPr>
        <w:rFonts w:hint="eastAsia"/>
        <w:sz w:val="21"/>
        <w:lang w:eastAsia="zh-CN"/>
      </w:rPr>
      <w:t xml:space="preserve">国新国证鑫泰三个月定期开放债券型证券投资基金          </w:t>
    </w:r>
    <w:r>
      <w:rPr>
        <w:rFonts w:hint="eastAsia"/>
        <w:sz w:val="21"/>
        <w:lang w:val="en-US" w:eastAsia="zh-CN"/>
      </w:rPr>
      <w:t xml:space="preserve">        </w:t>
    </w:r>
    <w:r>
      <w:rPr>
        <w:rFonts w:hint="eastAsia"/>
        <w:sz w:val="21"/>
        <w:lang w:eastAsia="zh-CN"/>
      </w:rPr>
      <w:t xml:space="preserve">       招募说明书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320BF"/>
    <w:multiLevelType w:val="singleLevel"/>
    <w:tmpl w:val="9FF320BF"/>
    <w:lvl w:ilvl="0" w:tentative="0">
      <w:start w:val="1"/>
      <w:numFmt w:val="decimal"/>
      <w:suff w:val="nothing"/>
      <w:lvlText w:val="%1、"/>
      <w:lvlJc w:val="left"/>
    </w:lvl>
  </w:abstractNum>
  <w:abstractNum w:abstractNumId="1">
    <w:nsid w:val="C9ECF5E0"/>
    <w:multiLevelType w:val="singleLevel"/>
    <w:tmpl w:val="C9ECF5E0"/>
    <w:lvl w:ilvl="0" w:tentative="0">
      <w:start w:val="9"/>
      <w:numFmt w:val="chineseCounting"/>
      <w:suff w:val="nothing"/>
      <w:lvlText w:val="%1、"/>
      <w:lvlJc w:val="left"/>
      <w:rPr>
        <w:rFonts w:hint="eastAsia"/>
      </w:rPr>
    </w:lvl>
  </w:abstractNum>
  <w:abstractNum w:abstractNumId="2">
    <w:nsid w:val="01ABE063"/>
    <w:multiLevelType w:val="singleLevel"/>
    <w:tmpl w:val="01ABE063"/>
    <w:lvl w:ilvl="0" w:tentative="0">
      <w:start w:val="1"/>
      <w:numFmt w:val="decimal"/>
      <w:suff w:val="nothing"/>
      <w:lvlText w:val="%1、"/>
      <w:lvlJc w:val="left"/>
    </w:lvl>
  </w:abstractNum>
  <w:abstractNum w:abstractNumId="3">
    <w:nsid w:val="5BD11B30"/>
    <w:multiLevelType w:val="singleLevel"/>
    <w:tmpl w:val="5BD11B30"/>
    <w:lvl w:ilvl="0" w:tentative="0">
      <w:start w:val="1"/>
      <w:numFmt w:val="chineseCounting"/>
      <w:suff w:val="nothing"/>
      <w:lvlText w:val="（%1）"/>
      <w:lvlJc w:val="left"/>
    </w:lvl>
  </w:abstractNum>
  <w:abstractNum w:abstractNumId="4">
    <w:nsid w:val="5BD28285"/>
    <w:multiLevelType w:val="singleLevel"/>
    <w:tmpl w:val="5BD28285"/>
    <w:lvl w:ilvl="0" w:tentative="0">
      <w:start w:val="3"/>
      <w:numFmt w:val="chineseCounting"/>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7CF"/>
    <w:rsid w:val="00000B31"/>
    <w:rsid w:val="0000141D"/>
    <w:rsid w:val="00003EB3"/>
    <w:rsid w:val="000044D8"/>
    <w:rsid w:val="000049C8"/>
    <w:rsid w:val="00004A52"/>
    <w:rsid w:val="00005264"/>
    <w:rsid w:val="00007D35"/>
    <w:rsid w:val="00007E55"/>
    <w:rsid w:val="000102B6"/>
    <w:rsid w:val="0002281D"/>
    <w:rsid w:val="00023050"/>
    <w:rsid w:val="00023D76"/>
    <w:rsid w:val="000319DD"/>
    <w:rsid w:val="000335A9"/>
    <w:rsid w:val="00034924"/>
    <w:rsid w:val="00034B14"/>
    <w:rsid w:val="000351C6"/>
    <w:rsid w:val="00035CC9"/>
    <w:rsid w:val="000362AC"/>
    <w:rsid w:val="00036AE3"/>
    <w:rsid w:val="00037021"/>
    <w:rsid w:val="0004048F"/>
    <w:rsid w:val="00040EE1"/>
    <w:rsid w:val="00042B02"/>
    <w:rsid w:val="000439EC"/>
    <w:rsid w:val="00045388"/>
    <w:rsid w:val="00046DB5"/>
    <w:rsid w:val="000504B7"/>
    <w:rsid w:val="00051E76"/>
    <w:rsid w:val="0005327B"/>
    <w:rsid w:val="000536EE"/>
    <w:rsid w:val="0005456E"/>
    <w:rsid w:val="00056D96"/>
    <w:rsid w:val="00060402"/>
    <w:rsid w:val="00061D1D"/>
    <w:rsid w:val="0006219D"/>
    <w:rsid w:val="00062F2F"/>
    <w:rsid w:val="0006589C"/>
    <w:rsid w:val="0006648C"/>
    <w:rsid w:val="00070236"/>
    <w:rsid w:val="00075B94"/>
    <w:rsid w:val="0008212B"/>
    <w:rsid w:val="000837E5"/>
    <w:rsid w:val="00083D47"/>
    <w:rsid w:val="00085ECB"/>
    <w:rsid w:val="00092320"/>
    <w:rsid w:val="00092CC9"/>
    <w:rsid w:val="0009388A"/>
    <w:rsid w:val="00094F89"/>
    <w:rsid w:val="00096380"/>
    <w:rsid w:val="000966F6"/>
    <w:rsid w:val="000974CC"/>
    <w:rsid w:val="00097D6D"/>
    <w:rsid w:val="000A266D"/>
    <w:rsid w:val="000A3B80"/>
    <w:rsid w:val="000A4CC7"/>
    <w:rsid w:val="000A5D3D"/>
    <w:rsid w:val="000A7076"/>
    <w:rsid w:val="000B050C"/>
    <w:rsid w:val="000B5C6F"/>
    <w:rsid w:val="000C3816"/>
    <w:rsid w:val="000C387D"/>
    <w:rsid w:val="000C39FC"/>
    <w:rsid w:val="000C5DFF"/>
    <w:rsid w:val="000C78C0"/>
    <w:rsid w:val="000D17BB"/>
    <w:rsid w:val="000D1F58"/>
    <w:rsid w:val="000D2109"/>
    <w:rsid w:val="000D366D"/>
    <w:rsid w:val="000D4553"/>
    <w:rsid w:val="000D4C78"/>
    <w:rsid w:val="000D4DAD"/>
    <w:rsid w:val="000D52EF"/>
    <w:rsid w:val="000D63DC"/>
    <w:rsid w:val="000E2BE5"/>
    <w:rsid w:val="000E2C6F"/>
    <w:rsid w:val="000E3623"/>
    <w:rsid w:val="000E655A"/>
    <w:rsid w:val="000E70F3"/>
    <w:rsid w:val="000F0A6A"/>
    <w:rsid w:val="000F1B24"/>
    <w:rsid w:val="000F2F42"/>
    <w:rsid w:val="000F3F0C"/>
    <w:rsid w:val="000F3FED"/>
    <w:rsid w:val="000F526A"/>
    <w:rsid w:val="000F619C"/>
    <w:rsid w:val="000F6776"/>
    <w:rsid w:val="000F6D7E"/>
    <w:rsid w:val="000F7764"/>
    <w:rsid w:val="00105C88"/>
    <w:rsid w:val="001060C5"/>
    <w:rsid w:val="00110472"/>
    <w:rsid w:val="00110F5B"/>
    <w:rsid w:val="00112253"/>
    <w:rsid w:val="001133CD"/>
    <w:rsid w:val="00113D41"/>
    <w:rsid w:val="00114773"/>
    <w:rsid w:val="001161B2"/>
    <w:rsid w:val="00120F19"/>
    <w:rsid w:val="0012176D"/>
    <w:rsid w:val="001238AD"/>
    <w:rsid w:val="0012398C"/>
    <w:rsid w:val="00123C1C"/>
    <w:rsid w:val="0012401C"/>
    <w:rsid w:val="00125E07"/>
    <w:rsid w:val="00130CC2"/>
    <w:rsid w:val="00131EE3"/>
    <w:rsid w:val="00137051"/>
    <w:rsid w:val="001414D5"/>
    <w:rsid w:val="001432A4"/>
    <w:rsid w:val="001440E6"/>
    <w:rsid w:val="00146C42"/>
    <w:rsid w:val="001517FB"/>
    <w:rsid w:val="00154A93"/>
    <w:rsid w:val="001550A4"/>
    <w:rsid w:val="001565BB"/>
    <w:rsid w:val="0015743C"/>
    <w:rsid w:val="00160272"/>
    <w:rsid w:val="001607F5"/>
    <w:rsid w:val="00166014"/>
    <w:rsid w:val="00166A88"/>
    <w:rsid w:val="00174161"/>
    <w:rsid w:val="001742DF"/>
    <w:rsid w:val="0017704A"/>
    <w:rsid w:val="001777A5"/>
    <w:rsid w:val="001777CA"/>
    <w:rsid w:val="0018036F"/>
    <w:rsid w:val="0018119F"/>
    <w:rsid w:val="00183867"/>
    <w:rsid w:val="001839CA"/>
    <w:rsid w:val="0018799A"/>
    <w:rsid w:val="00191DF4"/>
    <w:rsid w:val="00192A45"/>
    <w:rsid w:val="001933D7"/>
    <w:rsid w:val="001938D1"/>
    <w:rsid w:val="001949CB"/>
    <w:rsid w:val="001A037C"/>
    <w:rsid w:val="001A24EC"/>
    <w:rsid w:val="001A3899"/>
    <w:rsid w:val="001A43C3"/>
    <w:rsid w:val="001A447B"/>
    <w:rsid w:val="001A4BFF"/>
    <w:rsid w:val="001A5B20"/>
    <w:rsid w:val="001A6056"/>
    <w:rsid w:val="001A7481"/>
    <w:rsid w:val="001A75E8"/>
    <w:rsid w:val="001B32F3"/>
    <w:rsid w:val="001B6101"/>
    <w:rsid w:val="001B62C0"/>
    <w:rsid w:val="001B64F4"/>
    <w:rsid w:val="001C1FFF"/>
    <w:rsid w:val="001C32E5"/>
    <w:rsid w:val="001C3E69"/>
    <w:rsid w:val="001C6CFC"/>
    <w:rsid w:val="001C6D10"/>
    <w:rsid w:val="001C701B"/>
    <w:rsid w:val="001C75C6"/>
    <w:rsid w:val="001C7E7E"/>
    <w:rsid w:val="001D0BEC"/>
    <w:rsid w:val="001D0F0F"/>
    <w:rsid w:val="001D2680"/>
    <w:rsid w:val="001D426C"/>
    <w:rsid w:val="001D507F"/>
    <w:rsid w:val="001E28E4"/>
    <w:rsid w:val="001E3FB8"/>
    <w:rsid w:val="001E41CE"/>
    <w:rsid w:val="001E5517"/>
    <w:rsid w:val="001E684E"/>
    <w:rsid w:val="001F0A9D"/>
    <w:rsid w:val="001F0DEC"/>
    <w:rsid w:val="001F299D"/>
    <w:rsid w:val="001F3AF8"/>
    <w:rsid w:val="001F4FB3"/>
    <w:rsid w:val="001F528A"/>
    <w:rsid w:val="001F64D9"/>
    <w:rsid w:val="00200D79"/>
    <w:rsid w:val="00200D84"/>
    <w:rsid w:val="00201150"/>
    <w:rsid w:val="00201705"/>
    <w:rsid w:val="0020210C"/>
    <w:rsid w:val="00204E9A"/>
    <w:rsid w:val="00217926"/>
    <w:rsid w:val="00220FEF"/>
    <w:rsid w:val="002238ED"/>
    <w:rsid w:val="00225B28"/>
    <w:rsid w:val="002303E1"/>
    <w:rsid w:val="00230C48"/>
    <w:rsid w:val="00235980"/>
    <w:rsid w:val="002374EA"/>
    <w:rsid w:val="002439B1"/>
    <w:rsid w:val="002445C9"/>
    <w:rsid w:val="00246A93"/>
    <w:rsid w:val="00247990"/>
    <w:rsid w:val="0025372C"/>
    <w:rsid w:val="00253EEC"/>
    <w:rsid w:val="00260D44"/>
    <w:rsid w:val="00261180"/>
    <w:rsid w:val="002636F7"/>
    <w:rsid w:val="0026378A"/>
    <w:rsid w:val="00264839"/>
    <w:rsid w:val="00264F55"/>
    <w:rsid w:val="00264F8B"/>
    <w:rsid w:val="002676C6"/>
    <w:rsid w:val="00275D35"/>
    <w:rsid w:val="0027607D"/>
    <w:rsid w:val="00276C6A"/>
    <w:rsid w:val="002803DC"/>
    <w:rsid w:val="00283B0A"/>
    <w:rsid w:val="00285364"/>
    <w:rsid w:val="002861E8"/>
    <w:rsid w:val="00290F96"/>
    <w:rsid w:val="0029137F"/>
    <w:rsid w:val="00294AD2"/>
    <w:rsid w:val="00296996"/>
    <w:rsid w:val="00297F7A"/>
    <w:rsid w:val="002A051A"/>
    <w:rsid w:val="002A6ECB"/>
    <w:rsid w:val="002A728B"/>
    <w:rsid w:val="002B09F5"/>
    <w:rsid w:val="002B1F21"/>
    <w:rsid w:val="002B2238"/>
    <w:rsid w:val="002B280C"/>
    <w:rsid w:val="002B2AE6"/>
    <w:rsid w:val="002B3584"/>
    <w:rsid w:val="002B40A5"/>
    <w:rsid w:val="002B5E8F"/>
    <w:rsid w:val="002B7443"/>
    <w:rsid w:val="002C09FB"/>
    <w:rsid w:val="002C1072"/>
    <w:rsid w:val="002C2233"/>
    <w:rsid w:val="002C30EC"/>
    <w:rsid w:val="002C4A04"/>
    <w:rsid w:val="002D1197"/>
    <w:rsid w:val="002D22EF"/>
    <w:rsid w:val="002D3EC1"/>
    <w:rsid w:val="002D5774"/>
    <w:rsid w:val="002D7ACD"/>
    <w:rsid w:val="002E11C4"/>
    <w:rsid w:val="002E1373"/>
    <w:rsid w:val="002E3455"/>
    <w:rsid w:val="002F01BA"/>
    <w:rsid w:val="002F4561"/>
    <w:rsid w:val="002F747F"/>
    <w:rsid w:val="003028CB"/>
    <w:rsid w:val="003035DA"/>
    <w:rsid w:val="003038A4"/>
    <w:rsid w:val="00303EBB"/>
    <w:rsid w:val="003050D4"/>
    <w:rsid w:val="00306032"/>
    <w:rsid w:val="0030785C"/>
    <w:rsid w:val="0031079B"/>
    <w:rsid w:val="00312A3E"/>
    <w:rsid w:val="00313C0C"/>
    <w:rsid w:val="003143EE"/>
    <w:rsid w:val="0031516C"/>
    <w:rsid w:val="00317FED"/>
    <w:rsid w:val="00323C2B"/>
    <w:rsid w:val="003264F8"/>
    <w:rsid w:val="00330665"/>
    <w:rsid w:val="00331B30"/>
    <w:rsid w:val="00334C8A"/>
    <w:rsid w:val="00340AF2"/>
    <w:rsid w:val="00343AE5"/>
    <w:rsid w:val="00344B61"/>
    <w:rsid w:val="00347FAA"/>
    <w:rsid w:val="0035017A"/>
    <w:rsid w:val="0035090E"/>
    <w:rsid w:val="003533CE"/>
    <w:rsid w:val="0035731E"/>
    <w:rsid w:val="003649B7"/>
    <w:rsid w:val="003660D8"/>
    <w:rsid w:val="0036699B"/>
    <w:rsid w:val="00372B93"/>
    <w:rsid w:val="00374447"/>
    <w:rsid w:val="00374E9D"/>
    <w:rsid w:val="00380483"/>
    <w:rsid w:val="0038268D"/>
    <w:rsid w:val="003869AA"/>
    <w:rsid w:val="00386B33"/>
    <w:rsid w:val="003916A6"/>
    <w:rsid w:val="003920BD"/>
    <w:rsid w:val="003921C7"/>
    <w:rsid w:val="00393696"/>
    <w:rsid w:val="00395F70"/>
    <w:rsid w:val="0039686D"/>
    <w:rsid w:val="00396D0B"/>
    <w:rsid w:val="003A1C8C"/>
    <w:rsid w:val="003A1FF2"/>
    <w:rsid w:val="003A2F59"/>
    <w:rsid w:val="003A3613"/>
    <w:rsid w:val="003A4FB9"/>
    <w:rsid w:val="003A5C18"/>
    <w:rsid w:val="003A60DB"/>
    <w:rsid w:val="003A701D"/>
    <w:rsid w:val="003B330E"/>
    <w:rsid w:val="003B3347"/>
    <w:rsid w:val="003B3A27"/>
    <w:rsid w:val="003B4AB4"/>
    <w:rsid w:val="003C0963"/>
    <w:rsid w:val="003C0DBE"/>
    <w:rsid w:val="003C1763"/>
    <w:rsid w:val="003C1F48"/>
    <w:rsid w:val="003C2034"/>
    <w:rsid w:val="003C5AD7"/>
    <w:rsid w:val="003C6753"/>
    <w:rsid w:val="003C7CD5"/>
    <w:rsid w:val="003D06F5"/>
    <w:rsid w:val="003D2BB9"/>
    <w:rsid w:val="003D2D55"/>
    <w:rsid w:val="003D56C4"/>
    <w:rsid w:val="003D68CB"/>
    <w:rsid w:val="003D6974"/>
    <w:rsid w:val="003D6E56"/>
    <w:rsid w:val="003E07A8"/>
    <w:rsid w:val="003E513C"/>
    <w:rsid w:val="003E68B0"/>
    <w:rsid w:val="003E6D65"/>
    <w:rsid w:val="003E74BA"/>
    <w:rsid w:val="003E7D5B"/>
    <w:rsid w:val="003F0405"/>
    <w:rsid w:val="003F1346"/>
    <w:rsid w:val="003F153C"/>
    <w:rsid w:val="003F180D"/>
    <w:rsid w:val="003F201B"/>
    <w:rsid w:val="003F7219"/>
    <w:rsid w:val="003F78BA"/>
    <w:rsid w:val="00404166"/>
    <w:rsid w:val="00406398"/>
    <w:rsid w:val="00406620"/>
    <w:rsid w:val="00413334"/>
    <w:rsid w:val="00413A5D"/>
    <w:rsid w:val="00415B3D"/>
    <w:rsid w:val="004165B3"/>
    <w:rsid w:val="004170D2"/>
    <w:rsid w:val="00417A08"/>
    <w:rsid w:val="0042048E"/>
    <w:rsid w:val="00420E02"/>
    <w:rsid w:val="0042246C"/>
    <w:rsid w:val="004233A0"/>
    <w:rsid w:val="00424F36"/>
    <w:rsid w:val="00425D33"/>
    <w:rsid w:val="00426C41"/>
    <w:rsid w:val="004311B6"/>
    <w:rsid w:val="00431A2C"/>
    <w:rsid w:val="0043270A"/>
    <w:rsid w:val="004332CE"/>
    <w:rsid w:val="004334F7"/>
    <w:rsid w:val="00434955"/>
    <w:rsid w:val="00436CD3"/>
    <w:rsid w:val="0043712C"/>
    <w:rsid w:val="00437CF4"/>
    <w:rsid w:val="00441C1C"/>
    <w:rsid w:val="00442719"/>
    <w:rsid w:val="0044273A"/>
    <w:rsid w:val="00444D00"/>
    <w:rsid w:val="00444DC2"/>
    <w:rsid w:val="004473D1"/>
    <w:rsid w:val="00454D9E"/>
    <w:rsid w:val="004620D6"/>
    <w:rsid w:val="00462FE0"/>
    <w:rsid w:val="0046416C"/>
    <w:rsid w:val="004651EF"/>
    <w:rsid w:val="00465397"/>
    <w:rsid w:val="004713EE"/>
    <w:rsid w:val="00471DFA"/>
    <w:rsid w:val="00473287"/>
    <w:rsid w:val="0047401F"/>
    <w:rsid w:val="00474B56"/>
    <w:rsid w:val="004776C3"/>
    <w:rsid w:val="004812B5"/>
    <w:rsid w:val="00482EA0"/>
    <w:rsid w:val="004843AB"/>
    <w:rsid w:val="00484AFC"/>
    <w:rsid w:val="004850B3"/>
    <w:rsid w:val="004860CF"/>
    <w:rsid w:val="00487191"/>
    <w:rsid w:val="00487DEB"/>
    <w:rsid w:val="0049539C"/>
    <w:rsid w:val="004966B5"/>
    <w:rsid w:val="004A0E6F"/>
    <w:rsid w:val="004A7F1C"/>
    <w:rsid w:val="004B0901"/>
    <w:rsid w:val="004B11FE"/>
    <w:rsid w:val="004B286C"/>
    <w:rsid w:val="004B4207"/>
    <w:rsid w:val="004B45D0"/>
    <w:rsid w:val="004B6358"/>
    <w:rsid w:val="004B70A7"/>
    <w:rsid w:val="004C08B3"/>
    <w:rsid w:val="004C4856"/>
    <w:rsid w:val="004C5E93"/>
    <w:rsid w:val="004C70A4"/>
    <w:rsid w:val="004D2778"/>
    <w:rsid w:val="004D2829"/>
    <w:rsid w:val="004D289A"/>
    <w:rsid w:val="004D29C5"/>
    <w:rsid w:val="004D4CAD"/>
    <w:rsid w:val="004D5F14"/>
    <w:rsid w:val="004D5F94"/>
    <w:rsid w:val="004D63EA"/>
    <w:rsid w:val="004E224A"/>
    <w:rsid w:val="004E6780"/>
    <w:rsid w:val="004F376B"/>
    <w:rsid w:val="004F5291"/>
    <w:rsid w:val="004F7D49"/>
    <w:rsid w:val="00501284"/>
    <w:rsid w:val="00501BF0"/>
    <w:rsid w:val="0050301D"/>
    <w:rsid w:val="005033C5"/>
    <w:rsid w:val="0050732F"/>
    <w:rsid w:val="005074EA"/>
    <w:rsid w:val="00510C6D"/>
    <w:rsid w:val="00512B46"/>
    <w:rsid w:val="00513359"/>
    <w:rsid w:val="00514B4C"/>
    <w:rsid w:val="00516E3C"/>
    <w:rsid w:val="0052048E"/>
    <w:rsid w:val="0052050A"/>
    <w:rsid w:val="00522193"/>
    <w:rsid w:val="00522BA8"/>
    <w:rsid w:val="005258EC"/>
    <w:rsid w:val="00526299"/>
    <w:rsid w:val="00531534"/>
    <w:rsid w:val="00533BF9"/>
    <w:rsid w:val="00541F14"/>
    <w:rsid w:val="005421F4"/>
    <w:rsid w:val="00552335"/>
    <w:rsid w:val="00554141"/>
    <w:rsid w:val="0055442D"/>
    <w:rsid w:val="005576CB"/>
    <w:rsid w:val="00557DDC"/>
    <w:rsid w:val="00560113"/>
    <w:rsid w:val="005606A4"/>
    <w:rsid w:val="00560A94"/>
    <w:rsid w:val="005621C4"/>
    <w:rsid w:val="005622CD"/>
    <w:rsid w:val="00563CA2"/>
    <w:rsid w:val="005673EF"/>
    <w:rsid w:val="005676C3"/>
    <w:rsid w:val="00567E78"/>
    <w:rsid w:val="00570298"/>
    <w:rsid w:val="005702F1"/>
    <w:rsid w:val="00573FB3"/>
    <w:rsid w:val="005742DB"/>
    <w:rsid w:val="00576F68"/>
    <w:rsid w:val="005779E4"/>
    <w:rsid w:val="00580A2A"/>
    <w:rsid w:val="00583335"/>
    <w:rsid w:val="005835B3"/>
    <w:rsid w:val="0058496C"/>
    <w:rsid w:val="00585CAE"/>
    <w:rsid w:val="00586CAF"/>
    <w:rsid w:val="00596E1F"/>
    <w:rsid w:val="005A2196"/>
    <w:rsid w:val="005A2603"/>
    <w:rsid w:val="005A7FB3"/>
    <w:rsid w:val="005B0D52"/>
    <w:rsid w:val="005B0ED8"/>
    <w:rsid w:val="005B5BC4"/>
    <w:rsid w:val="005B614A"/>
    <w:rsid w:val="005B737B"/>
    <w:rsid w:val="005C1E99"/>
    <w:rsid w:val="005C53EE"/>
    <w:rsid w:val="005C58D9"/>
    <w:rsid w:val="005C5966"/>
    <w:rsid w:val="005C77FA"/>
    <w:rsid w:val="005E10EA"/>
    <w:rsid w:val="005E1795"/>
    <w:rsid w:val="005E1C73"/>
    <w:rsid w:val="005E28F7"/>
    <w:rsid w:val="005E3A5D"/>
    <w:rsid w:val="005E3E06"/>
    <w:rsid w:val="005F0578"/>
    <w:rsid w:val="005F0EC9"/>
    <w:rsid w:val="005F1226"/>
    <w:rsid w:val="005F24AE"/>
    <w:rsid w:val="005F5B8C"/>
    <w:rsid w:val="005F74E3"/>
    <w:rsid w:val="00602321"/>
    <w:rsid w:val="00602456"/>
    <w:rsid w:val="00602D53"/>
    <w:rsid w:val="00603A42"/>
    <w:rsid w:val="00604A2E"/>
    <w:rsid w:val="00604CD4"/>
    <w:rsid w:val="00606455"/>
    <w:rsid w:val="006066BE"/>
    <w:rsid w:val="006074B5"/>
    <w:rsid w:val="00610239"/>
    <w:rsid w:val="00611F25"/>
    <w:rsid w:val="006129CF"/>
    <w:rsid w:val="00614888"/>
    <w:rsid w:val="00615D83"/>
    <w:rsid w:val="006208EA"/>
    <w:rsid w:val="00620978"/>
    <w:rsid w:val="006225DA"/>
    <w:rsid w:val="006227B1"/>
    <w:rsid w:val="006242FB"/>
    <w:rsid w:val="006261BD"/>
    <w:rsid w:val="00626D04"/>
    <w:rsid w:val="00627166"/>
    <w:rsid w:val="00627170"/>
    <w:rsid w:val="006272B5"/>
    <w:rsid w:val="00630772"/>
    <w:rsid w:val="00630B8E"/>
    <w:rsid w:val="0063116E"/>
    <w:rsid w:val="00637F75"/>
    <w:rsid w:val="00640021"/>
    <w:rsid w:val="00641397"/>
    <w:rsid w:val="00642349"/>
    <w:rsid w:val="006429E8"/>
    <w:rsid w:val="00642CEB"/>
    <w:rsid w:val="00644EBF"/>
    <w:rsid w:val="0064770B"/>
    <w:rsid w:val="00647A50"/>
    <w:rsid w:val="00647F7B"/>
    <w:rsid w:val="00650010"/>
    <w:rsid w:val="00651556"/>
    <w:rsid w:val="00652AE3"/>
    <w:rsid w:val="00660446"/>
    <w:rsid w:val="00663A1B"/>
    <w:rsid w:val="006662B3"/>
    <w:rsid w:val="006666D1"/>
    <w:rsid w:val="0066687B"/>
    <w:rsid w:val="006704C1"/>
    <w:rsid w:val="00673318"/>
    <w:rsid w:val="00673F02"/>
    <w:rsid w:val="00674D75"/>
    <w:rsid w:val="00675FAC"/>
    <w:rsid w:val="0068023B"/>
    <w:rsid w:val="00680323"/>
    <w:rsid w:val="00680B44"/>
    <w:rsid w:val="00681480"/>
    <w:rsid w:val="00681863"/>
    <w:rsid w:val="006846DC"/>
    <w:rsid w:val="00685D10"/>
    <w:rsid w:val="00691CFD"/>
    <w:rsid w:val="00692DA5"/>
    <w:rsid w:val="00693003"/>
    <w:rsid w:val="00695AD2"/>
    <w:rsid w:val="006A1187"/>
    <w:rsid w:val="006A373B"/>
    <w:rsid w:val="006A3A25"/>
    <w:rsid w:val="006A49C3"/>
    <w:rsid w:val="006A4C56"/>
    <w:rsid w:val="006A6454"/>
    <w:rsid w:val="006A683F"/>
    <w:rsid w:val="006A6A94"/>
    <w:rsid w:val="006B004D"/>
    <w:rsid w:val="006B03CA"/>
    <w:rsid w:val="006B1E7C"/>
    <w:rsid w:val="006B1F33"/>
    <w:rsid w:val="006B3371"/>
    <w:rsid w:val="006B48EF"/>
    <w:rsid w:val="006B793F"/>
    <w:rsid w:val="006B7A96"/>
    <w:rsid w:val="006B7AFA"/>
    <w:rsid w:val="006C0838"/>
    <w:rsid w:val="006C3243"/>
    <w:rsid w:val="006C4799"/>
    <w:rsid w:val="006C6330"/>
    <w:rsid w:val="006C731A"/>
    <w:rsid w:val="006D096C"/>
    <w:rsid w:val="006D1C28"/>
    <w:rsid w:val="006D316B"/>
    <w:rsid w:val="006D486B"/>
    <w:rsid w:val="006D7169"/>
    <w:rsid w:val="006E15AE"/>
    <w:rsid w:val="006E1D5C"/>
    <w:rsid w:val="006E2091"/>
    <w:rsid w:val="006E564D"/>
    <w:rsid w:val="006E57C1"/>
    <w:rsid w:val="006E5F44"/>
    <w:rsid w:val="006F0E85"/>
    <w:rsid w:val="006F131F"/>
    <w:rsid w:val="006F2DCA"/>
    <w:rsid w:val="006F3010"/>
    <w:rsid w:val="006F4673"/>
    <w:rsid w:val="006F6E23"/>
    <w:rsid w:val="006F7AAE"/>
    <w:rsid w:val="006F7E1C"/>
    <w:rsid w:val="007059D6"/>
    <w:rsid w:val="007061BD"/>
    <w:rsid w:val="00710494"/>
    <w:rsid w:val="00710908"/>
    <w:rsid w:val="00713369"/>
    <w:rsid w:val="0071457B"/>
    <w:rsid w:val="007155CD"/>
    <w:rsid w:val="00725DDF"/>
    <w:rsid w:val="007260E7"/>
    <w:rsid w:val="007261C7"/>
    <w:rsid w:val="00726F31"/>
    <w:rsid w:val="00727D92"/>
    <w:rsid w:val="00730872"/>
    <w:rsid w:val="0073121B"/>
    <w:rsid w:val="007322CA"/>
    <w:rsid w:val="00734A96"/>
    <w:rsid w:val="00734AE7"/>
    <w:rsid w:val="00735E68"/>
    <w:rsid w:val="00736AF9"/>
    <w:rsid w:val="0074603D"/>
    <w:rsid w:val="007460E5"/>
    <w:rsid w:val="00746598"/>
    <w:rsid w:val="00753464"/>
    <w:rsid w:val="007538D5"/>
    <w:rsid w:val="007542A1"/>
    <w:rsid w:val="007566AE"/>
    <w:rsid w:val="007567C7"/>
    <w:rsid w:val="00756872"/>
    <w:rsid w:val="00757612"/>
    <w:rsid w:val="007602AB"/>
    <w:rsid w:val="00762403"/>
    <w:rsid w:val="00763C9C"/>
    <w:rsid w:val="00763FE1"/>
    <w:rsid w:val="007642D8"/>
    <w:rsid w:val="00772BA9"/>
    <w:rsid w:val="0077417F"/>
    <w:rsid w:val="00775D95"/>
    <w:rsid w:val="0077602A"/>
    <w:rsid w:val="00776EA3"/>
    <w:rsid w:val="007771C5"/>
    <w:rsid w:val="00780CE0"/>
    <w:rsid w:val="00782D9E"/>
    <w:rsid w:val="0078584D"/>
    <w:rsid w:val="007870DD"/>
    <w:rsid w:val="00790B49"/>
    <w:rsid w:val="00791960"/>
    <w:rsid w:val="0079322E"/>
    <w:rsid w:val="00793F7B"/>
    <w:rsid w:val="007948BA"/>
    <w:rsid w:val="007952E0"/>
    <w:rsid w:val="007961C7"/>
    <w:rsid w:val="00797FF3"/>
    <w:rsid w:val="007A1407"/>
    <w:rsid w:val="007A18B7"/>
    <w:rsid w:val="007A1C01"/>
    <w:rsid w:val="007A1EF5"/>
    <w:rsid w:val="007A3187"/>
    <w:rsid w:val="007A70FF"/>
    <w:rsid w:val="007B1283"/>
    <w:rsid w:val="007B3A48"/>
    <w:rsid w:val="007B57B3"/>
    <w:rsid w:val="007C03A3"/>
    <w:rsid w:val="007C0511"/>
    <w:rsid w:val="007C0EB6"/>
    <w:rsid w:val="007C11FD"/>
    <w:rsid w:val="007C20B5"/>
    <w:rsid w:val="007C512B"/>
    <w:rsid w:val="007C5C07"/>
    <w:rsid w:val="007D35AA"/>
    <w:rsid w:val="007D37F2"/>
    <w:rsid w:val="007D3803"/>
    <w:rsid w:val="007D3901"/>
    <w:rsid w:val="007D4916"/>
    <w:rsid w:val="007D62E1"/>
    <w:rsid w:val="007D69BA"/>
    <w:rsid w:val="007D6D45"/>
    <w:rsid w:val="007D6E3F"/>
    <w:rsid w:val="007E1904"/>
    <w:rsid w:val="007E1B6B"/>
    <w:rsid w:val="007E1D74"/>
    <w:rsid w:val="007E27A1"/>
    <w:rsid w:val="007E2C4E"/>
    <w:rsid w:val="007E322C"/>
    <w:rsid w:val="007E373A"/>
    <w:rsid w:val="007E571D"/>
    <w:rsid w:val="007E593C"/>
    <w:rsid w:val="007E5965"/>
    <w:rsid w:val="007E59E0"/>
    <w:rsid w:val="007E786B"/>
    <w:rsid w:val="007E78E2"/>
    <w:rsid w:val="007F2687"/>
    <w:rsid w:val="007F2F2D"/>
    <w:rsid w:val="007F4891"/>
    <w:rsid w:val="007F5D7C"/>
    <w:rsid w:val="00800038"/>
    <w:rsid w:val="0081261F"/>
    <w:rsid w:val="008131D8"/>
    <w:rsid w:val="0081400E"/>
    <w:rsid w:val="00820C23"/>
    <w:rsid w:val="008239AA"/>
    <w:rsid w:val="00823A18"/>
    <w:rsid w:val="00823EA3"/>
    <w:rsid w:val="008253FD"/>
    <w:rsid w:val="008257D1"/>
    <w:rsid w:val="00825893"/>
    <w:rsid w:val="00831C51"/>
    <w:rsid w:val="00832BDB"/>
    <w:rsid w:val="00833BD1"/>
    <w:rsid w:val="00833BD2"/>
    <w:rsid w:val="00833DF8"/>
    <w:rsid w:val="008346C4"/>
    <w:rsid w:val="00835247"/>
    <w:rsid w:val="00835559"/>
    <w:rsid w:val="00836DC4"/>
    <w:rsid w:val="00837860"/>
    <w:rsid w:val="0084029E"/>
    <w:rsid w:val="00840D95"/>
    <w:rsid w:val="00841DD7"/>
    <w:rsid w:val="00841F89"/>
    <w:rsid w:val="00842E77"/>
    <w:rsid w:val="00843E57"/>
    <w:rsid w:val="008476D8"/>
    <w:rsid w:val="00850EF2"/>
    <w:rsid w:val="0085105B"/>
    <w:rsid w:val="008517F5"/>
    <w:rsid w:val="0085798C"/>
    <w:rsid w:val="00857B4B"/>
    <w:rsid w:val="008623BB"/>
    <w:rsid w:val="00863589"/>
    <w:rsid w:val="0086406D"/>
    <w:rsid w:val="00864573"/>
    <w:rsid w:val="00870DCD"/>
    <w:rsid w:val="00873B5D"/>
    <w:rsid w:val="00874711"/>
    <w:rsid w:val="00874F5D"/>
    <w:rsid w:val="008756A5"/>
    <w:rsid w:val="00875BC4"/>
    <w:rsid w:val="00876445"/>
    <w:rsid w:val="00877E87"/>
    <w:rsid w:val="00880297"/>
    <w:rsid w:val="00883F3C"/>
    <w:rsid w:val="00884163"/>
    <w:rsid w:val="00884CDF"/>
    <w:rsid w:val="00885F83"/>
    <w:rsid w:val="00890578"/>
    <w:rsid w:val="00890DF3"/>
    <w:rsid w:val="00891E04"/>
    <w:rsid w:val="00893102"/>
    <w:rsid w:val="0089379C"/>
    <w:rsid w:val="0089398E"/>
    <w:rsid w:val="00896240"/>
    <w:rsid w:val="008963A7"/>
    <w:rsid w:val="00897353"/>
    <w:rsid w:val="008A036C"/>
    <w:rsid w:val="008A1534"/>
    <w:rsid w:val="008A1F9A"/>
    <w:rsid w:val="008A32AC"/>
    <w:rsid w:val="008A68D9"/>
    <w:rsid w:val="008A6E9B"/>
    <w:rsid w:val="008B04B3"/>
    <w:rsid w:val="008B1237"/>
    <w:rsid w:val="008B239E"/>
    <w:rsid w:val="008B3838"/>
    <w:rsid w:val="008B7ADF"/>
    <w:rsid w:val="008C0BA5"/>
    <w:rsid w:val="008C22DB"/>
    <w:rsid w:val="008C36CD"/>
    <w:rsid w:val="008C4071"/>
    <w:rsid w:val="008C713E"/>
    <w:rsid w:val="008C787B"/>
    <w:rsid w:val="008C7933"/>
    <w:rsid w:val="008D5466"/>
    <w:rsid w:val="008D61DF"/>
    <w:rsid w:val="008E0370"/>
    <w:rsid w:val="008E29FB"/>
    <w:rsid w:val="008E56A0"/>
    <w:rsid w:val="008E656B"/>
    <w:rsid w:val="008F0AB4"/>
    <w:rsid w:val="008F4D93"/>
    <w:rsid w:val="008F700B"/>
    <w:rsid w:val="00900ECE"/>
    <w:rsid w:val="0090153C"/>
    <w:rsid w:val="009043DE"/>
    <w:rsid w:val="009059B8"/>
    <w:rsid w:val="009076AC"/>
    <w:rsid w:val="00910840"/>
    <w:rsid w:val="00910BCB"/>
    <w:rsid w:val="00910CED"/>
    <w:rsid w:val="00915528"/>
    <w:rsid w:val="00915536"/>
    <w:rsid w:val="009167F7"/>
    <w:rsid w:val="009219E8"/>
    <w:rsid w:val="00922955"/>
    <w:rsid w:val="00922A34"/>
    <w:rsid w:val="009244AE"/>
    <w:rsid w:val="00924607"/>
    <w:rsid w:val="0092487D"/>
    <w:rsid w:val="00926086"/>
    <w:rsid w:val="00926292"/>
    <w:rsid w:val="009262C9"/>
    <w:rsid w:val="00930F1F"/>
    <w:rsid w:val="00930FF7"/>
    <w:rsid w:val="0093406E"/>
    <w:rsid w:val="00935772"/>
    <w:rsid w:val="00936633"/>
    <w:rsid w:val="00940239"/>
    <w:rsid w:val="00941F2E"/>
    <w:rsid w:val="009445CC"/>
    <w:rsid w:val="00944701"/>
    <w:rsid w:val="009447A2"/>
    <w:rsid w:val="00945CF1"/>
    <w:rsid w:val="00947528"/>
    <w:rsid w:val="00950E47"/>
    <w:rsid w:val="00951028"/>
    <w:rsid w:val="00951FD3"/>
    <w:rsid w:val="00954185"/>
    <w:rsid w:val="0095642E"/>
    <w:rsid w:val="009568ED"/>
    <w:rsid w:val="00961944"/>
    <w:rsid w:val="00964057"/>
    <w:rsid w:val="00970162"/>
    <w:rsid w:val="00970C66"/>
    <w:rsid w:val="00970E94"/>
    <w:rsid w:val="009713D9"/>
    <w:rsid w:val="009754F9"/>
    <w:rsid w:val="0097798C"/>
    <w:rsid w:val="009817CD"/>
    <w:rsid w:val="009822F6"/>
    <w:rsid w:val="009824F0"/>
    <w:rsid w:val="00983BBA"/>
    <w:rsid w:val="0098491A"/>
    <w:rsid w:val="0098507F"/>
    <w:rsid w:val="00985D71"/>
    <w:rsid w:val="009865DF"/>
    <w:rsid w:val="00990AF7"/>
    <w:rsid w:val="00991E35"/>
    <w:rsid w:val="00991F6A"/>
    <w:rsid w:val="009921C5"/>
    <w:rsid w:val="00996271"/>
    <w:rsid w:val="00997DCA"/>
    <w:rsid w:val="00997EE4"/>
    <w:rsid w:val="009A0ADB"/>
    <w:rsid w:val="009A1776"/>
    <w:rsid w:val="009A6AA7"/>
    <w:rsid w:val="009A6B4F"/>
    <w:rsid w:val="009A7CF4"/>
    <w:rsid w:val="009A7DEB"/>
    <w:rsid w:val="009B551D"/>
    <w:rsid w:val="009B57F9"/>
    <w:rsid w:val="009B7251"/>
    <w:rsid w:val="009B785F"/>
    <w:rsid w:val="009B7CC2"/>
    <w:rsid w:val="009C07FC"/>
    <w:rsid w:val="009C0819"/>
    <w:rsid w:val="009C0E41"/>
    <w:rsid w:val="009C0F62"/>
    <w:rsid w:val="009C1744"/>
    <w:rsid w:val="009C2B9C"/>
    <w:rsid w:val="009C48E4"/>
    <w:rsid w:val="009C69BD"/>
    <w:rsid w:val="009D26DD"/>
    <w:rsid w:val="009D38EB"/>
    <w:rsid w:val="009D3BE7"/>
    <w:rsid w:val="009D7B4F"/>
    <w:rsid w:val="009E1A89"/>
    <w:rsid w:val="009E1E33"/>
    <w:rsid w:val="009E6D22"/>
    <w:rsid w:val="009F083F"/>
    <w:rsid w:val="009F2EDE"/>
    <w:rsid w:val="009F39FA"/>
    <w:rsid w:val="009F5964"/>
    <w:rsid w:val="009F5BB3"/>
    <w:rsid w:val="009F5F13"/>
    <w:rsid w:val="00A00CE3"/>
    <w:rsid w:val="00A01244"/>
    <w:rsid w:val="00A0201E"/>
    <w:rsid w:val="00A0228E"/>
    <w:rsid w:val="00A02739"/>
    <w:rsid w:val="00A04C89"/>
    <w:rsid w:val="00A04C8D"/>
    <w:rsid w:val="00A1064D"/>
    <w:rsid w:val="00A10F33"/>
    <w:rsid w:val="00A12936"/>
    <w:rsid w:val="00A145A3"/>
    <w:rsid w:val="00A14D19"/>
    <w:rsid w:val="00A16529"/>
    <w:rsid w:val="00A16836"/>
    <w:rsid w:val="00A170EA"/>
    <w:rsid w:val="00A17BC4"/>
    <w:rsid w:val="00A20395"/>
    <w:rsid w:val="00A205E6"/>
    <w:rsid w:val="00A22A11"/>
    <w:rsid w:val="00A2379C"/>
    <w:rsid w:val="00A24BAE"/>
    <w:rsid w:val="00A26E49"/>
    <w:rsid w:val="00A27FF4"/>
    <w:rsid w:val="00A30078"/>
    <w:rsid w:val="00A32C02"/>
    <w:rsid w:val="00A32D4A"/>
    <w:rsid w:val="00A344CB"/>
    <w:rsid w:val="00A34BC7"/>
    <w:rsid w:val="00A35479"/>
    <w:rsid w:val="00A40B95"/>
    <w:rsid w:val="00A40D82"/>
    <w:rsid w:val="00A43EB0"/>
    <w:rsid w:val="00A444BA"/>
    <w:rsid w:val="00A44F71"/>
    <w:rsid w:val="00A45095"/>
    <w:rsid w:val="00A47B7C"/>
    <w:rsid w:val="00A5249D"/>
    <w:rsid w:val="00A533DE"/>
    <w:rsid w:val="00A53A9F"/>
    <w:rsid w:val="00A53D25"/>
    <w:rsid w:val="00A54DA4"/>
    <w:rsid w:val="00A56349"/>
    <w:rsid w:val="00A571BF"/>
    <w:rsid w:val="00A631CF"/>
    <w:rsid w:val="00A6371D"/>
    <w:rsid w:val="00A65410"/>
    <w:rsid w:val="00A66AF1"/>
    <w:rsid w:val="00A711A1"/>
    <w:rsid w:val="00A725FF"/>
    <w:rsid w:val="00A7335E"/>
    <w:rsid w:val="00A7466C"/>
    <w:rsid w:val="00A7524B"/>
    <w:rsid w:val="00A81BC8"/>
    <w:rsid w:val="00A824F5"/>
    <w:rsid w:val="00A834E4"/>
    <w:rsid w:val="00A85905"/>
    <w:rsid w:val="00A86C77"/>
    <w:rsid w:val="00A90950"/>
    <w:rsid w:val="00A94270"/>
    <w:rsid w:val="00A94513"/>
    <w:rsid w:val="00A9546C"/>
    <w:rsid w:val="00A95B61"/>
    <w:rsid w:val="00AA0006"/>
    <w:rsid w:val="00AA2E22"/>
    <w:rsid w:val="00AA553C"/>
    <w:rsid w:val="00AA61EA"/>
    <w:rsid w:val="00AA7231"/>
    <w:rsid w:val="00AA7CE3"/>
    <w:rsid w:val="00AC06D2"/>
    <w:rsid w:val="00AC2161"/>
    <w:rsid w:val="00AC27E9"/>
    <w:rsid w:val="00AC3C40"/>
    <w:rsid w:val="00AC5C8D"/>
    <w:rsid w:val="00AC69C0"/>
    <w:rsid w:val="00AD00A5"/>
    <w:rsid w:val="00AD1107"/>
    <w:rsid w:val="00AD2348"/>
    <w:rsid w:val="00AE16CA"/>
    <w:rsid w:val="00AE1CD8"/>
    <w:rsid w:val="00AE4908"/>
    <w:rsid w:val="00AE6C4F"/>
    <w:rsid w:val="00AF1CF4"/>
    <w:rsid w:val="00AF269D"/>
    <w:rsid w:val="00AF32AA"/>
    <w:rsid w:val="00AF544B"/>
    <w:rsid w:val="00AF61C3"/>
    <w:rsid w:val="00AF79CB"/>
    <w:rsid w:val="00B00117"/>
    <w:rsid w:val="00B00D88"/>
    <w:rsid w:val="00B04269"/>
    <w:rsid w:val="00B05A40"/>
    <w:rsid w:val="00B0618A"/>
    <w:rsid w:val="00B06E43"/>
    <w:rsid w:val="00B07963"/>
    <w:rsid w:val="00B07CF6"/>
    <w:rsid w:val="00B111D9"/>
    <w:rsid w:val="00B119EB"/>
    <w:rsid w:val="00B129DB"/>
    <w:rsid w:val="00B12FAE"/>
    <w:rsid w:val="00B17035"/>
    <w:rsid w:val="00B209BC"/>
    <w:rsid w:val="00B231CA"/>
    <w:rsid w:val="00B23BBC"/>
    <w:rsid w:val="00B23F99"/>
    <w:rsid w:val="00B244D8"/>
    <w:rsid w:val="00B31E13"/>
    <w:rsid w:val="00B3214F"/>
    <w:rsid w:val="00B35143"/>
    <w:rsid w:val="00B35693"/>
    <w:rsid w:val="00B3605B"/>
    <w:rsid w:val="00B365B8"/>
    <w:rsid w:val="00B41CE2"/>
    <w:rsid w:val="00B43649"/>
    <w:rsid w:val="00B44055"/>
    <w:rsid w:val="00B46F94"/>
    <w:rsid w:val="00B47EC4"/>
    <w:rsid w:val="00B504B4"/>
    <w:rsid w:val="00B525EE"/>
    <w:rsid w:val="00B55EF6"/>
    <w:rsid w:val="00B56C70"/>
    <w:rsid w:val="00B57433"/>
    <w:rsid w:val="00B60E01"/>
    <w:rsid w:val="00B61ED3"/>
    <w:rsid w:val="00B7172A"/>
    <w:rsid w:val="00B725E9"/>
    <w:rsid w:val="00B75BF7"/>
    <w:rsid w:val="00B7645C"/>
    <w:rsid w:val="00B822D6"/>
    <w:rsid w:val="00B83DFB"/>
    <w:rsid w:val="00B8470E"/>
    <w:rsid w:val="00B860D8"/>
    <w:rsid w:val="00B86230"/>
    <w:rsid w:val="00B865EC"/>
    <w:rsid w:val="00B91582"/>
    <w:rsid w:val="00B96D47"/>
    <w:rsid w:val="00BA016A"/>
    <w:rsid w:val="00BA1874"/>
    <w:rsid w:val="00BA28FA"/>
    <w:rsid w:val="00BA30CD"/>
    <w:rsid w:val="00BA409B"/>
    <w:rsid w:val="00BA5CCF"/>
    <w:rsid w:val="00BA6544"/>
    <w:rsid w:val="00BB221E"/>
    <w:rsid w:val="00BB25DD"/>
    <w:rsid w:val="00BB3F6A"/>
    <w:rsid w:val="00BB586B"/>
    <w:rsid w:val="00BB6F86"/>
    <w:rsid w:val="00BB77AD"/>
    <w:rsid w:val="00BC0D5C"/>
    <w:rsid w:val="00BC122B"/>
    <w:rsid w:val="00BC20BE"/>
    <w:rsid w:val="00BC3CF7"/>
    <w:rsid w:val="00BC61FA"/>
    <w:rsid w:val="00BC66AB"/>
    <w:rsid w:val="00BC7ACB"/>
    <w:rsid w:val="00BD04FA"/>
    <w:rsid w:val="00BD0DC2"/>
    <w:rsid w:val="00BD1BAA"/>
    <w:rsid w:val="00BD1F43"/>
    <w:rsid w:val="00BD459F"/>
    <w:rsid w:val="00BD5576"/>
    <w:rsid w:val="00BD57DE"/>
    <w:rsid w:val="00BD5D51"/>
    <w:rsid w:val="00BD66E2"/>
    <w:rsid w:val="00BE1130"/>
    <w:rsid w:val="00BE23E1"/>
    <w:rsid w:val="00BE3E16"/>
    <w:rsid w:val="00BE4422"/>
    <w:rsid w:val="00BE4F12"/>
    <w:rsid w:val="00BF1F67"/>
    <w:rsid w:val="00BF5FF8"/>
    <w:rsid w:val="00C00249"/>
    <w:rsid w:val="00C009EC"/>
    <w:rsid w:val="00C0182F"/>
    <w:rsid w:val="00C02405"/>
    <w:rsid w:val="00C03EA3"/>
    <w:rsid w:val="00C05E0D"/>
    <w:rsid w:val="00C068C7"/>
    <w:rsid w:val="00C06C4C"/>
    <w:rsid w:val="00C11916"/>
    <w:rsid w:val="00C11DF6"/>
    <w:rsid w:val="00C16147"/>
    <w:rsid w:val="00C17511"/>
    <w:rsid w:val="00C202D4"/>
    <w:rsid w:val="00C2141B"/>
    <w:rsid w:val="00C3062B"/>
    <w:rsid w:val="00C30F3A"/>
    <w:rsid w:val="00C31B25"/>
    <w:rsid w:val="00C3536B"/>
    <w:rsid w:val="00C36FB1"/>
    <w:rsid w:val="00C40FED"/>
    <w:rsid w:val="00C413DA"/>
    <w:rsid w:val="00C422D5"/>
    <w:rsid w:val="00C42BA3"/>
    <w:rsid w:val="00C43037"/>
    <w:rsid w:val="00C45B8D"/>
    <w:rsid w:val="00C46557"/>
    <w:rsid w:val="00C472D2"/>
    <w:rsid w:val="00C50F78"/>
    <w:rsid w:val="00C54D7B"/>
    <w:rsid w:val="00C60AB0"/>
    <w:rsid w:val="00C6155B"/>
    <w:rsid w:val="00C634A8"/>
    <w:rsid w:val="00C66269"/>
    <w:rsid w:val="00C7156E"/>
    <w:rsid w:val="00C72272"/>
    <w:rsid w:val="00C72D03"/>
    <w:rsid w:val="00C72D7A"/>
    <w:rsid w:val="00C731BF"/>
    <w:rsid w:val="00C75A7F"/>
    <w:rsid w:val="00C7613C"/>
    <w:rsid w:val="00C772A1"/>
    <w:rsid w:val="00C77397"/>
    <w:rsid w:val="00C80563"/>
    <w:rsid w:val="00C832B2"/>
    <w:rsid w:val="00C86C6F"/>
    <w:rsid w:val="00C87A3B"/>
    <w:rsid w:val="00C87B54"/>
    <w:rsid w:val="00C940F1"/>
    <w:rsid w:val="00C96C78"/>
    <w:rsid w:val="00C97CDE"/>
    <w:rsid w:val="00CA0A1A"/>
    <w:rsid w:val="00CA1C98"/>
    <w:rsid w:val="00CA2014"/>
    <w:rsid w:val="00CA20E7"/>
    <w:rsid w:val="00CA31E4"/>
    <w:rsid w:val="00CA4996"/>
    <w:rsid w:val="00CA4A27"/>
    <w:rsid w:val="00CA5E39"/>
    <w:rsid w:val="00CB36FC"/>
    <w:rsid w:val="00CB47A4"/>
    <w:rsid w:val="00CB5AEA"/>
    <w:rsid w:val="00CB7F09"/>
    <w:rsid w:val="00CC50EF"/>
    <w:rsid w:val="00CC581E"/>
    <w:rsid w:val="00CC5F5B"/>
    <w:rsid w:val="00CC6233"/>
    <w:rsid w:val="00CC6EB2"/>
    <w:rsid w:val="00CC7687"/>
    <w:rsid w:val="00CD2291"/>
    <w:rsid w:val="00CD66E6"/>
    <w:rsid w:val="00CD77A3"/>
    <w:rsid w:val="00CD7D45"/>
    <w:rsid w:val="00CE1189"/>
    <w:rsid w:val="00CE2224"/>
    <w:rsid w:val="00CE266F"/>
    <w:rsid w:val="00CE29AD"/>
    <w:rsid w:val="00CE4C65"/>
    <w:rsid w:val="00CE7D16"/>
    <w:rsid w:val="00CF252D"/>
    <w:rsid w:val="00CF3794"/>
    <w:rsid w:val="00CF444B"/>
    <w:rsid w:val="00CF4EA2"/>
    <w:rsid w:val="00CF56D4"/>
    <w:rsid w:val="00CF677E"/>
    <w:rsid w:val="00CF7963"/>
    <w:rsid w:val="00D003F8"/>
    <w:rsid w:val="00D00C80"/>
    <w:rsid w:val="00D02102"/>
    <w:rsid w:val="00D02DD7"/>
    <w:rsid w:val="00D042FA"/>
    <w:rsid w:val="00D04746"/>
    <w:rsid w:val="00D0671A"/>
    <w:rsid w:val="00D072EF"/>
    <w:rsid w:val="00D111EB"/>
    <w:rsid w:val="00D115D6"/>
    <w:rsid w:val="00D136D2"/>
    <w:rsid w:val="00D151AB"/>
    <w:rsid w:val="00D155C7"/>
    <w:rsid w:val="00D17399"/>
    <w:rsid w:val="00D2197D"/>
    <w:rsid w:val="00D22837"/>
    <w:rsid w:val="00D230AB"/>
    <w:rsid w:val="00D23445"/>
    <w:rsid w:val="00D247D4"/>
    <w:rsid w:val="00D24FBA"/>
    <w:rsid w:val="00D264CE"/>
    <w:rsid w:val="00D27263"/>
    <w:rsid w:val="00D31EF0"/>
    <w:rsid w:val="00D34026"/>
    <w:rsid w:val="00D342D8"/>
    <w:rsid w:val="00D351F8"/>
    <w:rsid w:val="00D3538F"/>
    <w:rsid w:val="00D414B9"/>
    <w:rsid w:val="00D41CF0"/>
    <w:rsid w:val="00D42B75"/>
    <w:rsid w:val="00D4477F"/>
    <w:rsid w:val="00D50BE5"/>
    <w:rsid w:val="00D51277"/>
    <w:rsid w:val="00D51700"/>
    <w:rsid w:val="00D53570"/>
    <w:rsid w:val="00D5520F"/>
    <w:rsid w:val="00D578A7"/>
    <w:rsid w:val="00D57D5C"/>
    <w:rsid w:val="00D650A5"/>
    <w:rsid w:val="00D66972"/>
    <w:rsid w:val="00D66A56"/>
    <w:rsid w:val="00D66C25"/>
    <w:rsid w:val="00D67A9B"/>
    <w:rsid w:val="00D707AB"/>
    <w:rsid w:val="00D7103A"/>
    <w:rsid w:val="00D7198B"/>
    <w:rsid w:val="00D7310B"/>
    <w:rsid w:val="00D7389B"/>
    <w:rsid w:val="00D7497E"/>
    <w:rsid w:val="00D74D31"/>
    <w:rsid w:val="00D759A8"/>
    <w:rsid w:val="00D75A37"/>
    <w:rsid w:val="00D75A8A"/>
    <w:rsid w:val="00D76867"/>
    <w:rsid w:val="00D82000"/>
    <w:rsid w:val="00D82F12"/>
    <w:rsid w:val="00D83751"/>
    <w:rsid w:val="00D83EF8"/>
    <w:rsid w:val="00D86294"/>
    <w:rsid w:val="00D86BE2"/>
    <w:rsid w:val="00D91B10"/>
    <w:rsid w:val="00D93119"/>
    <w:rsid w:val="00D9557C"/>
    <w:rsid w:val="00D9588C"/>
    <w:rsid w:val="00D96109"/>
    <w:rsid w:val="00D97744"/>
    <w:rsid w:val="00DA054D"/>
    <w:rsid w:val="00DA2CCB"/>
    <w:rsid w:val="00DA3207"/>
    <w:rsid w:val="00DA3508"/>
    <w:rsid w:val="00DA3EF0"/>
    <w:rsid w:val="00DA3FBC"/>
    <w:rsid w:val="00DA5D74"/>
    <w:rsid w:val="00DA6299"/>
    <w:rsid w:val="00DB1BC6"/>
    <w:rsid w:val="00DB2EC2"/>
    <w:rsid w:val="00DB3B63"/>
    <w:rsid w:val="00DB440A"/>
    <w:rsid w:val="00DB73AA"/>
    <w:rsid w:val="00DC0CE2"/>
    <w:rsid w:val="00DC0DED"/>
    <w:rsid w:val="00DC1654"/>
    <w:rsid w:val="00DC22A5"/>
    <w:rsid w:val="00DC2C6C"/>
    <w:rsid w:val="00DC3DA8"/>
    <w:rsid w:val="00DC3F96"/>
    <w:rsid w:val="00DD01FD"/>
    <w:rsid w:val="00DD1C8E"/>
    <w:rsid w:val="00DD1E96"/>
    <w:rsid w:val="00DD2549"/>
    <w:rsid w:val="00DD3276"/>
    <w:rsid w:val="00DD5D22"/>
    <w:rsid w:val="00DD69F2"/>
    <w:rsid w:val="00DD7703"/>
    <w:rsid w:val="00DD7DCF"/>
    <w:rsid w:val="00DD7FA3"/>
    <w:rsid w:val="00DE0CF0"/>
    <w:rsid w:val="00DE1943"/>
    <w:rsid w:val="00DE2F9A"/>
    <w:rsid w:val="00DE3711"/>
    <w:rsid w:val="00DE65E5"/>
    <w:rsid w:val="00DE6699"/>
    <w:rsid w:val="00DF0614"/>
    <w:rsid w:val="00DF2F25"/>
    <w:rsid w:val="00DF3CB7"/>
    <w:rsid w:val="00DF5B8C"/>
    <w:rsid w:val="00E0149D"/>
    <w:rsid w:val="00E01901"/>
    <w:rsid w:val="00E07D46"/>
    <w:rsid w:val="00E1009A"/>
    <w:rsid w:val="00E13279"/>
    <w:rsid w:val="00E15559"/>
    <w:rsid w:val="00E15D9B"/>
    <w:rsid w:val="00E16BD9"/>
    <w:rsid w:val="00E17375"/>
    <w:rsid w:val="00E173B4"/>
    <w:rsid w:val="00E21FA4"/>
    <w:rsid w:val="00E239F8"/>
    <w:rsid w:val="00E30F2A"/>
    <w:rsid w:val="00E31456"/>
    <w:rsid w:val="00E34BA8"/>
    <w:rsid w:val="00E3679D"/>
    <w:rsid w:val="00E402B3"/>
    <w:rsid w:val="00E4045A"/>
    <w:rsid w:val="00E436E9"/>
    <w:rsid w:val="00E4383E"/>
    <w:rsid w:val="00E448B6"/>
    <w:rsid w:val="00E46AD7"/>
    <w:rsid w:val="00E46D68"/>
    <w:rsid w:val="00E501DB"/>
    <w:rsid w:val="00E50415"/>
    <w:rsid w:val="00E53B04"/>
    <w:rsid w:val="00E5716D"/>
    <w:rsid w:val="00E62E70"/>
    <w:rsid w:val="00E62F64"/>
    <w:rsid w:val="00E63B2A"/>
    <w:rsid w:val="00E64F85"/>
    <w:rsid w:val="00E65D93"/>
    <w:rsid w:val="00E72D0D"/>
    <w:rsid w:val="00E73712"/>
    <w:rsid w:val="00E750D4"/>
    <w:rsid w:val="00E8346C"/>
    <w:rsid w:val="00E85AC0"/>
    <w:rsid w:val="00E86D1F"/>
    <w:rsid w:val="00E875DE"/>
    <w:rsid w:val="00E9038B"/>
    <w:rsid w:val="00E909BB"/>
    <w:rsid w:val="00E95B42"/>
    <w:rsid w:val="00E95F31"/>
    <w:rsid w:val="00E969AA"/>
    <w:rsid w:val="00E96B76"/>
    <w:rsid w:val="00EA03A3"/>
    <w:rsid w:val="00EA205A"/>
    <w:rsid w:val="00EA2C18"/>
    <w:rsid w:val="00EA3D7F"/>
    <w:rsid w:val="00EA3DB7"/>
    <w:rsid w:val="00EB0CB5"/>
    <w:rsid w:val="00EB1C54"/>
    <w:rsid w:val="00EB4248"/>
    <w:rsid w:val="00EC0BDD"/>
    <w:rsid w:val="00EC243B"/>
    <w:rsid w:val="00EC5728"/>
    <w:rsid w:val="00EC766F"/>
    <w:rsid w:val="00ED119B"/>
    <w:rsid w:val="00ED42E5"/>
    <w:rsid w:val="00ED4FF6"/>
    <w:rsid w:val="00ED5888"/>
    <w:rsid w:val="00ED64D3"/>
    <w:rsid w:val="00ED77C9"/>
    <w:rsid w:val="00EE13D9"/>
    <w:rsid w:val="00EE30DD"/>
    <w:rsid w:val="00EE40D1"/>
    <w:rsid w:val="00EE4E1B"/>
    <w:rsid w:val="00EE6418"/>
    <w:rsid w:val="00EF2303"/>
    <w:rsid w:val="00EF7EE7"/>
    <w:rsid w:val="00F01301"/>
    <w:rsid w:val="00F0156E"/>
    <w:rsid w:val="00F04D28"/>
    <w:rsid w:val="00F052C6"/>
    <w:rsid w:val="00F052FC"/>
    <w:rsid w:val="00F06498"/>
    <w:rsid w:val="00F07474"/>
    <w:rsid w:val="00F07A0D"/>
    <w:rsid w:val="00F10502"/>
    <w:rsid w:val="00F10E2D"/>
    <w:rsid w:val="00F11E5E"/>
    <w:rsid w:val="00F22562"/>
    <w:rsid w:val="00F2521F"/>
    <w:rsid w:val="00F257E8"/>
    <w:rsid w:val="00F259CA"/>
    <w:rsid w:val="00F2784C"/>
    <w:rsid w:val="00F27D80"/>
    <w:rsid w:val="00F31F77"/>
    <w:rsid w:val="00F324B3"/>
    <w:rsid w:val="00F33014"/>
    <w:rsid w:val="00F34496"/>
    <w:rsid w:val="00F349BA"/>
    <w:rsid w:val="00F35C42"/>
    <w:rsid w:val="00F3772F"/>
    <w:rsid w:val="00F40D87"/>
    <w:rsid w:val="00F40FA5"/>
    <w:rsid w:val="00F41533"/>
    <w:rsid w:val="00F41EBB"/>
    <w:rsid w:val="00F4346D"/>
    <w:rsid w:val="00F45215"/>
    <w:rsid w:val="00F45B5F"/>
    <w:rsid w:val="00F4794F"/>
    <w:rsid w:val="00F47D3C"/>
    <w:rsid w:val="00F50137"/>
    <w:rsid w:val="00F53294"/>
    <w:rsid w:val="00F540A3"/>
    <w:rsid w:val="00F567AE"/>
    <w:rsid w:val="00F56AF8"/>
    <w:rsid w:val="00F56BCF"/>
    <w:rsid w:val="00F57FED"/>
    <w:rsid w:val="00F61443"/>
    <w:rsid w:val="00F618D2"/>
    <w:rsid w:val="00F6490F"/>
    <w:rsid w:val="00F649E6"/>
    <w:rsid w:val="00F67450"/>
    <w:rsid w:val="00F700A2"/>
    <w:rsid w:val="00F71F60"/>
    <w:rsid w:val="00F72C1C"/>
    <w:rsid w:val="00F737CF"/>
    <w:rsid w:val="00F742AE"/>
    <w:rsid w:val="00F76397"/>
    <w:rsid w:val="00F77482"/>
    <w:rsid w:val="00F81F06"/>
    <w:rsid w:val="00F823F2"/>
    <w:rsid w:val="00F83435"/>
    <w:rsid w:val="00F85EFC"/>
    <w:rsid w:val="00F90177"/>
    <w:rsid w:val="00F950D5"/>
    <w:rsid w:val="00F9519B"/>
    <w:rsid w:val="00F95A85"/>
    <w:rsid w:val="00F96608"/>
    <w:rsid w:val="00F97E86"/>
    <w:rsid w:val="00FA053B"/>
    <w:rsid w:val="00FA0B4E"/>
    <w:rsid w:val="00FA2A16"/>
    <w:rsid w:val="00FA68D7"/>
    <w:rsid w:val="00FA7457"/>
    <w:rsid w:val="00FA7D18"/>
    <w:rsid w:val="00FB0090"/>
    <w:rsid w:val="00FB0115"/>
    <w:rsid w:val="00FB63AB"/>
    <w:rsid w:val="00FB7D0D"/>
    <w:rsid w:val="00FC02DF"/>
    <w:rsid w:val="00FC08DC"/>
    <w:rsid w:val="00FC1159"/>
    <w:rsid w:val="00FC35B4"/>
    <w:rsid w:val="00FC48AD"/>
    <w:rsid w:val="00FC537B"/>
    <w:rsid w:val="00FC5435"/>
    <w:rsid w:val="00FC5FDB"/>
    <w:rsid w:val="00FC6D3F"/>
    <w:rsid w:val="00FC796A"/>
    <w:rsid w:val="00FD1177"/>
    <w:rsid w:val="00FD15F8"/>
    <w:rsid w:val="00FD39AF"/>
    <w:rsid w:val="00FD39BA"/>
    <w:rsid w:val="00FD6E01"/>
    <w:rsid w:val="00FD78A7"/>
    <w:rsid w:val="00FE2AFA"/>
    <w:rsid w:val="00FE30F2"/>
    <w:rsid w:val="00FE398F"/>
    <w:rsid w:val="00FE3D68"/>
    <w:rsid w:val="00FE6025"/>
    <w:rsid w:val="00FF046B"/>
    <w:rsid w:val="00FF2254"/>
    <w:rsid w:val="00FF2EF8"/>
    <w:rsid w:val="00FF36FA"/>
    <w:rsid w:val="00FF3A63"/>
    <w:rsid w:val="00FF481A"/>
    <w:rsid w:val="00FF4ED7"/>
    <w:rsid w:val="0154512B"/>
    <w:rsid w:val="016E052C"/>
    <w:rsid w:val="025F3F7C"/>
    <w:rsid w:val="02C259B0"/>
    <w:rsid w:val="03371FA0"/>
    <w:rsid w:val="037974CB"/>
    <w:rsid w:val="03A3543A"/>
    <w:rsid w:val="03A72627"/>
    <w:rsid w:val="04775C39"/>
    <w:rsid w:val="048073B9"/>
    <w:rsid w:val="056B0C7D"/>
    <w:rsid w:val="06FE0E90"/>
    <w:rsid w:val="085D4FD8"/>
    <w:rsid w:val="08B719D7"/>
    <w:rsid w:val="092015C7"/>
    <w:rsid w:val="0A8707CD"/>
    <w:rsid w:val="0ABC0AE7"/>
    <w:rsid w:val="0CBA26DE"/>
    <w:rsid w:val="0D536B86"/>
    <w:rsid w:val="0E1A0508"/>
    <w:rsid w:val="124824E5"/>
    <w:rsid w:val="12D8256C"/>
    <w:rsid w:val="13336B67"/>
    <w:rsid w:val="13BF2DBC"/>
    <w:rsid w:val="151B1CF4"/>
    <w:rsid w:val="156A4CD1"/>
    <w:rsid w:val="17252AB9"/>
    <w:rsid w:val="175C6D69"/>
    <w:rsid w:val="179B4B02"/>
    <w:rsid w:val="18E85BF8"/>
    <w:rsid w:val="195159B6"/>
    <w:rsid w:val="1A5D3725"/>
    <w:rsid w:val="1B295556"/>
    <w:rsid w:val="1BD6230E"/>
    <w:rsid w:val="1BED5928"/>
    <w:rsid w:val="1C407DF9"/>
    <w:rsid w:val="20A134D7"/>
    <w:rsid w:val="22EF4D14"/>
    <w:rsid w:val="2317143F"/>
    <w:rsid w:val="23575869"/>
    <w:rsid w:val="24863901"/>
    <w:rsid w:val="24AB4883"/>
    <w:rsid w:val="25AA4F53"/>
    <w:rsid w:val="26315AC2"/>
    <w:rsid w:val="27DE5D8F"/>
    <w:rsid w:val="28AB6894"/>
    <w:rsid w:val="28ED7587"/>
    <w:rsid w:val="29851E24"/>
    <w:rsid w:val="298C2DCD"/>
    <w:rsid w:val="2B9C778D"/>
    <w:rsid w:val="2BBB4E57"/>
    <w:rsid w:val="2D450D52"/>
    <w:rsid w:val="2F7E28FC"/>
    <w:rsid w:val="2FCA64A0"/>
    <w:rsid w:val="30300046"/>
    <w:rsid w:val="30E8743E"/>
    <w:rsid w:val="30EC33A0"/>
    <w:rsid w:val="30F60BE0"/>
    <w:rsid w:val="327B4618"/>
    <w:rsid w:val="34A7782E"/>
    <w:rsid w:val="3534101D"/>
    <w:rsid w:val="36C87013"/>
    <w:rsid w:val="36D10C85"/>
    <w:rsid w:val="370E0EF5"/>
    <w:rsid w:val="37B23559"/>
    <w:rsid w:val="389E495C"/>
    <w:rsid w:val="39F91887"/>
    <w:rsid w:val="3B0E4993"/>
    <w:rsid w:val="3C770C6D"/>
    <w:rsid w:val="3D6B199E"/>
    <w:rsid w:val="3DAC56AF"/>
    <w:rsid w:val="3DCE1506"/>
    <w:rsid w:val="3EC820C9"/>
    <w:rsid w:val="3F293BF9"/>
    <w:rsid w:val="3F3069E8"/>
    <w:rsid w:val="3FBD4F5A"/>
    <w:rsid w:val="40610067"/>
    <w:rsid w:val="426C7154"/>
    <w:rsid w:val="438F057D"/>
    <w:rsid w:val="475103BB"/>
    <w:rsid w:val="477F645C"/>
    <w:rsid w:val="479D1946"/>
    <w:rsid w:val="48707F94"/>
    <w:rsid w:val="48F23BBF"/>
    <w:rsid w:val="494F6955"/>
    <w:rsid w:val="4AC87F8E"/>
    <w:rsid w:val="4CE31A28"/>
    <w:rsid w:val="4D246670"/>
    <w:rsid w:val="4E937842"/>
    <w:rsid w:val="4EA606DE"/>
    <w:rsid w:val="4EE3205D"/>
    <w:rsid w:val="4F0D37EA"/>
    <w:rsid w:val="4F0D50CF"/>
    <w:rsid w:val="51EA5C7F"/>
    <w:rsid w:val="52574724"/>
    <w:rsid w:val="52D31A14"/>
    <w:rsid w:val="53677F34"/>
    <w:rsid w:val="53B4696A"/>
    <w:rsid w:val="55E90AD6"/>
    <w:rsid w:val="567E07EF"/>
    <w:rsid w:val="56E6468B"/>
    <w:rsid w:val="578A7FD3"/>
    <w:rsid w:val="5A8B07BF"/>
    <w:rsid w:val="5C103EFB"/>
    <w:rsid w:val="5C2278B3"/>
    <w:rsid w:val="5CBE6F2B"/>
    <w:rsid w:val="612C1689"/>
    <w:rsid w:val="61303C72"/>
    <w:rsid w:val="6174182D"/>
    <w:rsid w:val="62B17B24"/>
    <w:rsid w:val="630241E4"/>
    <w:rsid w:val="63AD119A"/>
    <w:rsid w:val="63CD4BDF"/>
    <w:rsid w:val="63FB6711"/>
    <w:rsid w:val="65E300FD"/>
    <w:rsid w:val="66D11F3B"/>
    <w:rsid w:val="674D5DCD"/>
    <w:rsid w:val="688B58CE"/>
    <w:rsid w:val="689F5212"/>
    <w:rsid w:val="68A20AD2"/>
    <w:rsid w:val="6971086D"/>
    <w:rsid w:val="699B789B"/>
    <w:rsid w:val="6A5C7F75"/>
    <w:rsid w:val="6B433C45"/>
    <w:rsid w:val="6B850206"/>
    <w:rsid w:val="6C0835F8"/>
    <w:rsid w:val="6C696278"/>
    <w:rsid w:val="6EA04C4A"/>
    <w:rsid w:val="746A5E6A"/>
    <w:rsid w:val="74CD519E"/>
    <w:rsid w:val="75257BC4"/>
    <w:rsid w:val="789221F2"/>
    <w:rsid w:val="7A6C69D1"/>
    <w:rsid w:val="7B865497"/>
    <w:rsid w:val="7DE95412"/>
    <w:rsid w:val="7FDC4EA3"/>
    <w:rsid w:val="7FEB2AD4"/>
    <w:rsid w:val="7FFB3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en-US"/>
    </w:rPr>
  </w:style>
  <w:style w:type="paragraph" w:styleId="2">
    <w:name w:val="heading 1"/>
    <w:basedOn w:val="1"/>
    <w:next w:val="1"/>
    <w:qFormat/>
    <w:uiPriority w:val="0"/>
    <w:pPr>
      <w:spacing w:before="58"/>
      <w:ind w:left="443"/>
      <w:outlineLvl w:val="0"/>
    </w:pPr>
    <w:rPr>
      <w:sz w:val="30"/>
      <w:szCs w:val="30"/>
    </w:rPr>
  </w:style>
  <w:style w:type="paragraph" w:styleId="3">
    <w:name w:val="heading 2"/>
    <w:basedOn w:val="1"/>
    <w:next w:val="1"/>
    <w:qFormat/>
    <w:uiPriority w:val="1"/>
    <w:pPr>
      <w:ind w:left="443" w:right="153"/>
      <w:jc w:val="center"/>
      <w:outlineLvl w:val="1"/>
    </w:pPr>
    <w:rPr>
      <w:rFonts w:ascii="Microsoft JhengHei" w:hAnsi="Microsoft JhengHei" w:eastAsia="Microsoft JhengHei" w:cs="Microsoft JhengHei"/>
      <w:b/>
      <w:bCs/>
      <w:sz w:val="28"/>
      <w:szCs w:val="28"/>
    </w:rPr>
  </w:style>
  <w:style w:type="paragraph" w:styleId="4">
    <w:name w:val="heading 3"/>
    <w:basedOn w:val="1"/>
    <w:next w:val="1"/>
    <w:qFormat/>
    <w:uiPriority w:val="1"/>
    <w:pPr>
      <w:ind w:left="343" w:right="862" w:firstLine="420"/>
      <w:jc w:val="both"/>
      <w:outlineLvl w:val="2"/>
    </w:pPr>
    <w:rPr>
      <w:rFonts w:ascii="Microsoft JhengHei" w:hAnsi="Microsoft JhengHei" w:eastAsia="Microsoft JhengHei" w:cs="Microsoft JhengHei"/>
      <w:b/>
      <w:bCs/>
      <w:sz w:val="21"/>
      <w:szCs w:val="21"/>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320"/>
    </w:pPr>
    <w:rPr>
      <w:rFonts w:asciiTheme="minorHAnsi" w:hAnsiTheme="minorHAnsi" w:cstheme="minorHAnsi"/>
      <w:sz w:val="18"/>
      <w:szCs w:val="18"/>
    </w:rPr>
  </w:style>
  <w:style w:type="paragraph" w:styleId="6">
    <w:name w:val="annotation text"/>
    <w:basedOn w:val="1"/>
    <w:link w:val="40"/>
    <w:unhideWhenUsed/>
    <w:qFormat/>
    <w:uiPriority w:val="0"/>
  </w:style>
  <w:style w:type="paragraph" w:styleId="7">
    <w:name w:val="Body Text"/>
    <w:basedOn w:val="1"/>
    <w:qFormat/>
    <w:uiPriority w:val="1"/>
    <w:rPr>
      <w:sz w:val="21"/>
      <w:szCs w:val="21"/>
    </w:rPr>
  </w:style>
  <w:style w:type="paragraph" w:styleId="8">
    <w:name w:val="Body Text Indent"/>
    <w:basedOn w:val="1"/>
    <w:link w:val="45"/>
    <w:qFormat/>
    <w:uiPriority w:val="0"/>
    <w:pPr>
      <w:autoSpaceDE/>
      <w:autoSpaceDN/>
      <w:spacing w:line="360" w:lineRule="auto"/>
      <w:ind w:firstLine="480" w:firstLineChars="200"/>
      <w:jc w:val="both"/>
    </w:pPr>
    <w:rPr>
      <w:rFonts w:cs="Times New Roman"/>
      <w:kern w:val="2"/>
      <w:sz w:val="24"/>
      <w:szCs w:val="21"/>
      <w:lang w:eastAsia="zh-CN" w:bidi="ar-SA"/>
    </w:rPr>
  </w:style>
  <w:style w:type="paragraph" w:styleId="9">
    <w:name w:val="toc 5"/>
    <w:basedOn w:val="1"/>
    <w:next w:val="1"/>
    <w:unhideWhenUsed/>
    <w:qFormat/>
    <w:uiPriority w:val="39"/>
    <w:pPr>
      <w:ind w:left="880"/>
    </w:pPr>
    <w:rPr>
      <w:rFonts w:asciiTheme="minorHAnsi" w:hAnsiTheme="minorHAnsi" w:cstheme="minorHAnsi"/>
      <w:sz w:val="18"/>
      <w:szCs w:val="18"/>
    </w:rPr>
  </w:style>
  <w:style w:type="paragraph" w:styleId="10">
    <w:name w:val="toc 3"/>
    <w:basedOn w:val="1"/>
    <w:next w:val="1"/>
    <w:unhideWhenUsed/>
    <w:qFormat/>
    <w:uiPriority w:val="39"/>
    <w:pPr>
      <w:ind w:left="440"/>
    </w:pPr>
    <w:rPr>
      <w:rFonts w:asciiTheme="minorHAnsi" w:hAnsiTheme="minorHAnsi" w:cstheme="minorHAnsi"/>
      <w:i/>
      <w:iCs/>
      <w:sz w:val="20"/>
      <w:szCs w:val="20"/>
    </w:rPr>
  </w:style>
  <w:style w:type="paragraph" w:styleId="11">
    <w:name w:val="toc 8"/>
    <w:basedOn w:val="1"/>
    <w:next w:val="1"/>
    <w:unhideWhenUsed/>
    <w:qFormat/>
    <w:uiPriority w:val="39"/>
    <w:pPr>
      <w:ind w:left="1540"/>
    </w:pPr>
    <w:rPr>
      <w:rFonts w:asciiTheme="minorHAnsi" w:hAnsiTheme="minorHAnsi" w:cstheme="minorHAnsi"/>
      <w:sz w:val="18"/>
      <w:szCs w:val="18"/>
    </w:rPr>
  </w:style>
  <w:style w:type="paragraph" w:styleId="12">
    <w:name w:val="Date"/>
    <w:basedOn w:val="1"/>
    <w:next w:val="1"/>
    <w:link w:val="36"/>
    <w:semiHidden/>
    <w:unhideWhenUsed/>
    <w:qFormat/>
    <w:uiPriority w:val="99"/>
    <w:pPr>
      <w:ind w:left="100" w:leftChars="2500"/>
    </w:pPr>
  </w:style>
  <w:style w:type="paragraph" w:styleId="13">
    <w:name w:val="Body Text Indent 2"/>
    <w:basedOn w:val="1"/>
    <w:link w:val="44"/>
    <w:semiHidden/>
    <w:unhideWhenUsed/>
    <w:qFormat/>
    <w:uiPriority w:val="99"/>
    <w:pPr>
      <w:spacing w:after="120" w:line="480" w:lineRule="auto"/>
      <w:ind w:left="420" w:leftChars="200"/>
    </w:pPr>
  </w:style>
  <w:style w:type="paragraph" w:styleId="14">
    <w:name w:val="Balloon Text"/>
    <w:basedOn w:val="1"/>
    <w:link w:val="34"/>
    <w:semiHidden/>
    <w:unhideWhenUsed/>
    <w:qFormat/>
    <w:uiPriority w:val="99"/>
    <w:rPr>
      <w:sz w:val="18"/>
      <w:szCs w:val="18"/>
    </w:rPr>
  </w:style>
  <w:style w:type="paragraph" w:styleId="15">
    <w:name w:val="footer"/>
    <w:basedOn w:val="1"/>
    <w:link w:val="33"/>
    <w:unhideWhenUsed/>
    <w:qFormat/>
    <w:uiPriority w:val="99"/>
    <w:pPr>
      <w:tabs>
        <w:tab w:val="center" w:pos="4153"/>
        <w:tab w:val="right" w:pos="8306"/>
      </w:tabs>
      <w:snapToGrid w:val="0"/>
    </w:pPr>
    <w:rPr>
      <w:sz w:val="18"/>
      <w:szCs w:val="18"/>
    </w:rPr>
  </w:style>
  <w:style w:type="paragraph" w:styleId="16">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before="120" w:after="120"/>
    </w:pPr>
    <w:rPr>
      <w:rFonts w:asciiTheme="minorHAnsi" w:hAnsiTheme="minorHAnsi" w:cstheme="minorHAnsi"/>
      <w:b/>
      <w:bCs/>
      <w:caps/>
      <w:sz w:val="20"/>
      <w:szCs w:val="20"/>
    </w:rPr>
  </w:style>
  <w:style w:type="paragraph" w:styleId="18">
    <w:name w:val="toc 4"/>
    <w:basedOn w:val="1"/>
    <w:next w:val="1"/>
    <w:unhideWhenUsed/>
    <w:qFormat/>
    <w:uiPriority w:val="39"/>
    <w:pPr>
      <w:ind w:left="660"/>
    </w:pPr>
    <w:rPr>
      <w:rFonts w:asciiTheme="minorHAnsi" w:hAnsiTheme="minorHAnsi" w:cstheme="minorHAnsi"/>
      <w:sz w:val="18"/>
      <w:szCs w:val="18"/>
    </w:rPr>
  </w:style>
  <w:style w:type="paragraph" w:styleId="19">
    <w:name w:val="toc 6"/>
    <w:basedOn w:val="1"/>
    <w:next w:val="1"/>
    <w:unhideWhenUsed/>
    <w:qFormat/>
    <w:uiPriority w:val="39"/>
    <w:pPr>
      <w:ind w:left="1100"/>
    </w:pPr>
    <w:rPr>
      <w:rFonts w:asciiTheme="minorHAnsi" w:hAnsiTheme="minorHAnsi" w:cstheme="minorHAnsi"/>
      <w:sz w:val="18"/>
      <w:szCs w:val="18"/>
    </w:rPr>
  </w:style>
  <w:style w:type="paragraph" w:styleId="20">
    <w:name w:val="toc 2"/>
    <w:basedOn w:val="1"/>
    <w:next w:val="1"/>
    <w:unhideWhenUsed/>
    <w:qFormat/>
    <w:uiPriority w:val="39"/>
    <w:pPr>
      <w:ind w:left="220"/>
    </w:pPr>
    <w:rPr>
      <w:rFonts w:asciiTheme="minorHAnsi" w:hAnsiTheme="minorHAnsi" w:cstheme="minorHAnsi"/>
      <w:smallCaps/>
      <w:sz w:val="20"/>
      <w:szCs w:val="20"/>
    </w:rPr>
  </w:style>
  <w:style w:type="paragraph" w:styleId="21">
    <w:name w:val="toc 9"/>
    <w:basedOn w:val="1"/>
    <w:next w:val="1"/>
    <w:unhideWhenUsed/>
    <w:qFormat/>
    <w:uiPriority w:val="39"/>
    <w:pPr>
      <w:ind w:left="1760"/>
    </w:pPr>
    <w:rPr>
      <w:rFonts w:asciiTheme="minorHAnsi" w:hAnsiTheme="minorHAnsi" w:cstheme="minorHAnsi"/>
      <w:sz w:val="18"/>
      <w:szCs w:val="18"/>
    </w:rPr>
  </w:style>
  <w:style w:type="paragraph" w:styleId="22">
    <w:name w:val="Normal (Web)"/>
    <w:basedOn w:val="1"/>
    <w:semiHidden/>
    <w:unhideWhenUsed/>
    <w:qFormat/>
    <w:uiPriority w:val="99"/>
    <w:pPr>
      <w:widowControl/>
      <w:autoSpaceDE/>
      <w:autoSpaceDN/>
      <w:spacing w:before="100" w:beforeAutospacing="1" w:after="100" w:afterAutospacing="1"/>
    </w:pPr>
    <w:rPr>
      <w:sz w:val="24"/>
      <w:szCs w:val="24"/>
      <w:lang w:eastAsia="zh-CN" w:bidi="ar-SA"/>
    </w:rPr>
  </w:style>
  <w:style w:type="paragraph" w:styleId="23">
    <w:name w:val="annotation subject"/>
    <w:basedOn w:val="6"/>
    <w:next w:val="6"/>
    <w:link w:val="41"/>
    <w:semiHidden/>
    <w:unhideWhenUsed/>
    <w:qFormat/>
    <w:uiPriority w:val="99"/>
    <w:rPr>
      <w:b/>
      <w:bCs/>
    </w:rPr>
  </w:style>
  <w:style w:type="table" w:styleId="25">
    <w:name w:val="Table Grid"/>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unhideWhenUsed/>
    <w:qFormat/>
    <w:uiPriority w:val="99"/>
    <w:rPr>
      <w:color w:val="3894C1"/>
      <w:u w:val="none"/>
    </w:rPr>
  </w:style>
  <w:style w:type="character" w:styleId="28">
    <w:name w:val="annotation reference"/>
    <w:qFormat/>
    <w:uiPriority w:val="0"/>
    <w:rPr>
      <w:sz w:val="21"/>
    </w:rPr>
  </w:style>
  <w:style w:type="table" w:customStyle="1" w:styleId="29">
    <w:name w:val="Table Normal"/>
    <w:semiHidden/>
    <w:unhideWhenUsed/>
    <w:qFormat/>
    <w:uiPriority w:val="2"/>
    <w:tblPr>
      <w:tblCellMar>
        <w:top w:w="0" w:type="dxa"/>
        <w:left w:w="0" w:type="dxa"/>
        <w:bottom w:w="0" w:type="dxa"/>
        <w:right w:w="0" w:type="dxa"/>
      </w:tblCellMar>
    </w:tblPr>
  </w:style>
  <w:style w:type="paragraph" w:styleId="30">
    <w:name w:val="List Paragraph"/>
    <w:basedOn w:val="1"/>
    <w:qFormat/>
    <w:uiPriority w:val="34"/>
    <w:pPr>
      <w:ind w:left="343" w:firstLine="420"/>
    </w:pPr>
  </w:style>
  <w:style w:type="paragraph" w:customStyle="1" w:styleId="31">
    <w:name w:val="Table Paragraph"/>
    <w:basedOn w:val="1"/>
    <w:qFormat/>
    <w:uiPriority w:val="1"/>
    <w:pPr>
      <w:spacing w:before="105"/>
      <w:ind w:left="527"/>
      <w:jc w:val="center"/>
    </w:pPr>
  </w:style>
  <w:style w:type="character" w:customStyle="1" w:styleId="32">
    <w:name w:val="页眉 字符"/>
    <w:basedOn w:val="26"/>
    <w:link w:val="16"/>
    <w:qFormat/>
    <w:uiPriority w:val="99"/>
    <w:rPr>
      <w:rFonts w:ascii="宋体" w:hAnsi="宋体" w:eastAsia="宋体" w:cs="宋体"/>
      <w:sz w:val="18"/>
      <w:szCs w:val="18"/>
      <w:lang w:bidi="en-US"/>
    </w:rPr>
  </w:style>
  <w:style w:type="character" w:customStyle="1" w:styleId="33">
    <w:name w:val="页脚 字符"/>
    <w:basedOn w:val="26"/>
    <w:link w:val="15"/>
    <w:qFormat/>
    <w:uiPriority w:val="99"/>
    <w:rPr>
      <w:rFonts w:ascii="宋体" w:hAnsi="宋体" w:eastAsia="宋体" w:cs="宋体"/>
      <w:sz w:val="18"/>
      <w:szCs w:val="18"/>
      <w:lang w:bidi="en-US"/>
    </w:rPr>
  </w:style>
  <w:style w:type="character" w:customStyle="1" w:styleId="34">
    <w:name w:val="批注框文本 字符"/>
    <w:basedOn w:val="26"/>
    <w:link w:val="14"/>
    <w:semiHidden/>
    <w:qFormat/>
    <w:uiPriority w:val="99"/>
    <w:rPr>
      <w:rFonts w:ascii="宋体" w:hAnsi="宋体" w:eastAsia="宋体" w:cs="宋体"/>
      <w:sz w:val="18"/>
      <w:szCs w:val="18"/>
      <w:lang w:bidi="en-US"/>
    </w:rPr>
  </w:style>
  <w:style w:type="paragraph" w:customStyle="1" w:styleId="35">
    <w:name w:val="Default"/>
    <w:qFormat/>
    <w:uiPriority w:val="0"/>
    <w:pPr>
      <w:widowControl w:val="0"/>
      <w:autoSpaceDE w:val="0"/>
      <w:autoSpaceDN w:val="0"/>
      <w:adjustRightInd w:val="0"/>
    </w:pPr>
    <w:rPr>
      <w:rFonts w:ascii="宋体[...." w:eastAsia="宋体[...." w:cs="宋体[...." w:hAnsiTheme="minorHAnsi"/>
      <w:color w:val="000000"/>
      <w:sz w:val="24"/>
      <w:szCs w:val="24"/>
      <w:lang w:val="en-US" w:eastAsia="en-US" w:bidi="ar-SA"/>
    </w:rPr>
  </w:style>
  <w:style w:type="character" w:customStyle="1" w:styleId="36">
    <w:name w:val="日期 字符"/>
    <w:basedOn w:val="26"/>
    <w:link w:val="12"/>
    <w:semiHidden/>
    <w:qFormat/>
    <w:uiPriority w:val="99"/>
    <w:rPr>
      <w:rFonts w:ascii="宋体" w:hAnsi="宋体" w:eastAsia="宋体" w:cs="宋体"/>
      <w:lang w:bidi="en-US"/>
    </w:rPr>
  </w:style>
  <w:style w:type="character" w:customStyle="1" w:styleId="37">
    <w:name w:val="read"/>
    <w:basedOn w:val="26"/>
    <w:qFormat/>
    <w:uiPriority w:val="0"/>
  </w:style>
  <w:style w:type="character" w:customStyle="1" w:styleId="38">
    <w:name w:val="bold"/>
    <w:basedOn w:val="26"/>
    <w:qFormat/>
    <w:uiPriority w:val="0"/>
  </w:style>
  <w:style w:type="paragraph" w:customStyle="1" w:styleId="39">
    <w:name w:val="TOC 标题1"/>
    <w:basedOn w:val="2"/>
    <w:next w:val="1"/>
    <w:unhideWhenUsed/>
    <w:qFormat/>
    <w:uiPriority w:val="39"/>
    <w:pPr>
      <w:keepNext/>
      <w:keepLines/>
      <w:widowControl/>
      <w:autoSpaceDE/>
      <w:autoSpaceDN/>
      <w:spacing w:before="480" w:line="276" w:lineRule="auto"/>
      <w:ind w:left="0"/>
      <w:outlineLvl w:val="9"/>
    </w:pPr>
    <w:rPr>
      <w:rFonts w:asciiTheme="majorHAnsi" w:hAnsiTheme="majorHAnsi" w:eastAsiaTheme="majorEastAsia" w:cstheme="majorBidi"/>
      <w:b/>
      <w:bCs/>
      <w:color w:val="376092" w:themeColor="accent1" w:themeShade="BF"/>
      <w:sz w:val="28"/>
      <w:szCs w:val="28"/>
      <w:lang w:eastAsia="zh-CN" w:bidi="ar-SA"/>
    </w:rPr>
  </w:style>
  <w:style w:type="character" w:customStyle="1" w:styleId="40">
    <w:name w:val="批注文字 字符"/>
    <w:basedOn w:val="26"/>
    <w:link w:val="6"/>
    <w:qFormat/>
    <w:uiPriority w:val="0"/>
    <w:rPr>
      <w:rFonts w:ascii="宋体" w:hAnsi="宋体" w:eastAsia="宋体" w:cs="宋体"/>
      <w:lang w:bidi="en-US"/>
    </w:rPr>
  </w:style>
  <w:style w:type="character" w:customStyle="1" w:styleId="41">
    <w:name w:val="批注主题 字符"/>
    <w:basedOn w:val="40"/>
    <w:link w:val="23"/>
    <w:semiHidden/>
    <w:qFormat/>
    <w:uiPriority w:val="99"/>
    <w:rPr>
      <w:rFonts w:ascii="宋体" w:hAnsi="宋体" w:eastAsia="宋体" w:cs="宋体"/>
      <w:b/>
      <w:bCs/>
      <w:lang w:bidi="en-US"/>
    </w:rPr>
  </w:style>
  <w:style w:type="paragraph" w:customStyle="1" w:styleId="42">
    <w:name w:val="修订1"/>
    <w:hidden/>
    <w:semiHidden/>
    <w:qFormat/>
    <w:uiPriority w:val="99"/>
    <w:rPr>
      <w:rFonts w:ascii="宋体" w:hAnsi="宋体" w:eastAsia="宋体" w:cs="宋体"/>
      <w:sz w:val="22"/>
      <w:szCs w:val="22"/>
      <w:lang w:val="en-US" w:eastAsia="en-US" w:bidi="en-US"/>
    </w:rPr>
  </w:style>
  <w:style w:type="paragraph" w:customStyle="1" w:styleId="43">
    <w:name w:val="列出段落1"/>
    <w:basedOn w:val="1"/>
    <w:qFormat/>
    <w:uiPriority w:val="0"/>
    <w:pPr>
      <w:autoSpaceDE/>
      <w:autoSpaceDN/>
      <w:ind w:firstLine="420" w:firstLineChars="200"/>
      <w:jc w:val="both"/>
    </w:pPr>
    <w:rPr>
      <w:rFonts w:ascii="Calibri" w:hAnsi="Calibri" w:cs="Times New Roman"/>
      <w:kern w:val="2"/>
      <w:sz w:val="21"/>
      <w:lang w:eastAsia="zh-CN" w:bidi="ar-SA"/>
    </w:rPr>
  </w:style>
  <w:style w:type="character" w:customStyle="1" w:styleId="44">
    <w:name w:val="正文文本缩进 2 字符"/>
    <w:basedOn w:val="26"/>
    <w:link w:val="13"/>
    <w:semiHidden/>
    <w:qFormat/>
    <w:uiPriority w:val="99"/>
    <w:rPr>
      <w:rFonts w:ascii="宋体" w:hAnsi="宋体" w:eastAsia="宋体" w:cs="宋体"/>
      <w:lang w:bidi="en-US"/>
    </w:rPr>
  </w:style>
  <w:style w:type="character" w:customStyle="1" w:styleId="45">
    <w:name w:val="正文文本缩进 字符"/>
    <w:basedOn w:val="26"/>
    <w:link w:val="8"/>
    <w:qFormat/>
    <w:uiPriority w:val="0"/>
    <w:rPr>
      <w:rFonts w:ascii="宋体" w:hAnsi="宋体" w:eastAsia="宋体" w:cs="Times New Roman"/>
      <w:kern w:val="2"/>
      <w:sz w:val="24"/>
      <w:szCs w:val="21"/>
      <w:lang w:eastAsia="zh-CN"/>
    </w:rPr>
  </w:style>
  <w:style w:type="character" w:customStyle="1" w:styleId="46">
    <w:name w:val="fontstyle01"/>
    <w:basedOn w:val="26"/>
    <w:qFormat/>
    <w:uiPriority w:val="0"/>
    <w:rPr>
      <w:rFonts w:hint="eastAsia" w:ascii="宋体" w:hAnsi="宋体" w:eastAsia="宋体"/>
      <w:color w:val="000000"/>
      <w:sz w:val="24"/>
      <w:szCs w:val="24"/>
    </w:rPr>
  </w:style>
  <w:style w:type="paragraph" w:customStyle="1" w:styleId="47">
    <w:name w:val="修订2"/>
    <w:hidden/>
    <w:semiHidden/>
    <w:qFormat/>
    <w:uiPriority w:val="99"/>
    <w:rPr>
      <w:rFonts w:ascii="宋体" w:hAnsi="宋体" w:eastAsia="宋体" w:cs="宋体"/>
      <w:sz w:val="22"/>
      <w:szCs w:val="22"/>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1CB08-1F10-46E1-95E7-D2D44C2D0488}">
  <ds:schemaRefs/>
</ds:datastoreItem>
</file>

<file path=docProps/app.xml><?xml version="1.0" encoding="utf-8"?>
<Properties xmlns="http://schemas.openxmlformats.org/officeDocument/2006/extended-properties" xmlns:vt="http://schemas.openxmlformats.org/officeDocument/2006/docPropsVTypes">
  <Template>Normal</Template>
  <Company>llinks.com</Company>
  <Pages>128</Pages>
  <Words>3910</Words>
  <Characters>4011</Characters>
  <Lines>620</Lines>
  <Paragraphs>174</Paragraphs>
  <TotalTime>31</TotalTime>
  <ScaleCrop>false</ScaleCrop>
  <LinksUpToDate>false</LinksUpToDate>
  <CharactersWithSpaces>4102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2022-09-28T12:41:00Z</dcterms:created>
  <dc:creator>yangll</dc:creator>
  <cp:lastModifiedBy>凯</cp:lastModifiedBy>
  <cp:lastPrinted>2022-02-25T08:43:00Z</cp:lastPrinted>
  <dcterms:modified xsi:type="dcterms:W3CDTF">2026-10-08T01:28:36Z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2019-09-26T00:00:00Z</vt:filetime>
  </property>
  <property fmtid="{D5CDD505-2E9C-101B-9397-08002B2CF9AE}" pid="3" name="Creator">
    <vt:lpwstr>Aspose Ltd.</vt:lpwstr>
  </property>
  <property fmtid="{D5CDD505-2E9C-101B-9397-08002B2CF9AE}" pid="4" name="LastSaved">
    <vt:filetime>2019-10-15T00:00:00Z</vt:filetime>
  </property>
  <property fmtid="{D5CDD505-2E9C-101B-9397-08002B2CF9AE}" pid="5" name="KSOProductBuildVer">
    <vt:lpwstr>2052-12.1.0.28505</vt:lpwstr>
  </property>
  <property fmtid="{D5CDD505-2E9C-101B-9397-08002B2CF9AE}" pid="6" name="KSOTemplateDocerSaveRecord">
    <vt:lpwstr>eyJoZGlkIjoiMDFlN2Q0ZDA5NDcyNzRjZmNiZDQ3YmE3MGI1ZjE1YzQiLCJ1c2VySWQiOiIzNTU3NDUxMDcifQ==</vt:lpwstr>
  </property>
  <property fmtid="{D5CDD505-2E9C-101B-9397-08002B2CF9AE}" pid="7" name="ICV">
    <vt:lpwstr>CCB5F39E76DC44219D190F71C8C92AAA_12</vt:lpwstr>
  </property>
</Properties>
</file>