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pPr>
      <w:r>
        <w:rPr>
          <w:rFonts w:ascii="宋体" w:hAnsi="宋体" w:eastAsia="宋体" w:cs="宋体"/>
        </w:rPr>
        <w:t>国新国证鑫泰三个月定期开放债券型证券投资基金基金产品资料概要更新</w:t>
      </w:r>
    </w:p>
    <w:p>
      <w:pPr>
        <w:jc w:val="right"/>
      </w:pPr>
      <w:r>
        <w:rPr>
          <w:rFonts w:ascii="宋体" w:hAnsi="宋体" w:eastAsia="宋体" w:cs="宋体"/>
          <w:b w:val="0"/>
        </w:rPr>
        <w:t>编制日期：2026年</w:t>
      </w:r>
      <w:r>
        <w:rPr>
          <w:rFonts w:hint="eastAsia" w:ascii="宋体" w:hAnsi="宋体" w:cs="宋体"/>
          <w:b w:val="0"/>
          <w:lang w:val="en-US" w:eastAsia="zh-CN"/>
        </w:rPr>
        <w:t>10</w:t>
      </w:r>
      <w:r>
        <w:rPr>
          <w:rFonts w:ascii="宋体" w:hAnsi="宋体" w:eastAsia="宋体" w:cs="宋体"/>
          <w:b w:val="0"/>
        </w:rPr>
        <w:t>月</w:t>
      </w:r>
      <w:bookmarkStart w:id="0" w:name="_GoBack"/>
      <w:bookmarkEnd w:id="0"/>
      <w:r>
        <w:rPr>
          <w:rFonts w:ascii="宋体" w:hAnsi="宋体" w:eastAsia="宋体" w:cs="宋体"/>
          <w:b w:val="0"/>
        </w:rPr>
        <w:t>0</w:t>
      </w:r>
      <w:r>
        <w:rPr>
          <w:rFonts w:hint="eastAsia" w:ascii="宋体" w:hAnsi="宋体" w:cs="宋体"/>
          <w:b w:val="0"/>
          <w:lang w:val="en-US" w:eastAsia="zh-CN"/>
        </w:rPr>
        <w:t>8</w:t>
      </w:r>
      <w:r>
        <w:rPr>
          <w:rFonts w:ascii="宋体" w:hAnsi="宋体" w:eastAsia="宋体" w:cs="宋体"/>
          <w:b w:val="0"/>
        </w:rPr>
        <w:t>日</w:t>
      </w:r>
    </w:p>
    <w:p>
      <w:pPr>
        <w:jc w:val="center"/>
      </w:pPr>
      <w:r>
        <w:rPr>
          <w:rFonts w:ascii="宋体" w:hAnsi="宋体" w:eastAsia="宋体" w:cs="宋体"/>
          <w:b w:val="0"/>
        </w:rPr>
        <w:t>送出日期：2026年10月09日</w:t>
      </w:r>
    </w:p>
    <w:p>
      <w:pPr>
        <w:jc w:val="center"/>
      </w:pPr>
      <w:r>
        <w:rPr>
          <w:rFonts w:ascii="宋体" w:hAnsi="宋体" w:eastAsia="宋体" w:cs="宋体"/>
          <w:b/>
        </w:rPr>
        <w:t>本概要提供本基金的重要信息，是招募说明书的一部分。</w:t>
      </w:r>
    </w:p>
    <w:p>
      <w:pPr>
        <w:jc w:val="center"/>
      </w:pPr>
      <w:r>
        <w:rPr>
          <w:rFonts w:ascii="宋体" w:hAnsi="宋体" w:eastAsia="宋体" w:cs="宋体"/>
          <w:b/>
        </w:rPr>
        <w:t>作出投资决定前，请阅读完整的招募说明书等销售文件。</w:t>
      </w:r>
    </w:p>
    <w:p>
      <w:pPr>
        <w:pStyle w:val="3"/>
        <w:jc w:val="left"/>
      </w:pPr>
      <w:r>
        <w:rPr>
          <w:rFonts w:ascii="宋体" w:hAnsi="宋体" w:eastAsia="宋体" w:cs="宋体"/>
        </w:rPr>
        <w:t>一、产品概况</w:t>
      </w:r>
    </w:p>
    <w:tbl>
      <w:tblPr>
        <w:tblStyle w:val="27"/>
        <w:tblW w:w="5000" w:type="pct"/>
        <w:tblInd w:w="0" w:type="dxa"/>
        <w:tblBorders>
          <w:top w:val="single" w:color="auto" w:sz="4" w:space="0"/>
          <w:left w:val="none" w:color="auto" w:sz="4" w:space="0"/>
          <w:bottom w:val="single" w:color="auto" w:sz="4" w:space="0"/>
          <w:right w:val="none" w:color="auto" w:sz="4" w:space="0"/>
          <w:insideH w:val="dotted" w:color="auto" w:sz="4" w:space="0"/>
          <w:insideV w:val="none" w:color="auto" w:sz="4" w:space="0"/>
        </w:tblBorders>
        <w:tblLayout w:type="fixed"/>
        <w:tblCellMar>
          <w:top w:w="0" w:type="dxa"/>
          <w:left w:w="108" w:type="dxa"/>
          <w:bottom w:w="0" w:type="dxa"/>
          <w:right w:w="108" w:type="dxa"/>
        </w:tblCellMar>
      </w:tblPr>
      <w:tblGrid>
        <w:gridCol w:w="2322"/>
        <w:gridCol w:w="2322"/>
        <w:gridCol w:w="2322"/>
        <w:gridCol w:w="2322"/>
      </w:tblGrid>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基金简称</w:t>
            </w:r>
          </w:p>
        </w:tc>
        <w:tc>
          <w:tcPr>
            <w:tcW w:w="1346" w:type="pct"/>
            <w:vAlign w:val="center"/>
          </w:tcPr>
          <w:p>
            <w:pPr>
              <w:spacing w:line="240" w:lineRule="auto"/>
              <w:jc w:val="left"/>
            </w:pPr>
            <w:r>
              <w:rPr>
                <w:rFonts w:ascii="宋体" w:hAnsi="宋体" w:eastAsia="宋体" w:cs="宋体"/>
                <w:b w:val="0"/>
              </w:rPr>
              <w:t>国新国证鑫泰三个月定开债券</w:t>
            </w:r>
          </w:p>
        </w:tc>
        <w:tc>
          <w:tcPr>
            <w:tcW w:w="1154" w:type="pct"/>
            <w:vAlign w:val="center"/>
          </w:tcPr>
          <w:p>
            <w:pPr>
              <w:spacing w:line="240" w:lineRule="auto"/>
              <w:jc w:val="left"/>
            </w:pPr>
            <w:r>
              <w:rPr>
                <w:rFonts w:ascii="宋体" w:hAnsi="宋体" w:eastAsia="宋体" w:cs="宋体"/>
                <w:b/>
              </w:rPr>
              <w:t>基金代码</w:t>
            </w:r>
          </w:p>
        </w:tc>
        <w:tc>
          <w:tcPr>
            <w:tcW w:w="1346" w:type="pct"/>
            <w:vAlign w:val="center"/>
          </w:tcPr>
          <w:p>
            <w:pPr>
              <w:spacing w:line="240" w:lineRule="auto"/>
              <w:jc w:val="left"/>
            </w:pPr>
            <w:r>
              <w:rPr>
                <w:rFonts w:ascii="宋体" w:hAnsi="宋体" w:eastAsia="宋体" w:cs="宋体"/>
                <w:b w:val="0"/>
              </w:rPr>
              <w:t>018109</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基金管理人</w:t>
            </w:r>
          </w:p>
        </w:tc>
        <w:tc>
          <w:tcPr>
            <w:tcW w:w="0" w:type="dxa"/>
            <w:vAlign w:val="center"/>
          </w:tcPr>
          <w:p>
            <w:pPr>
              <w:spacing w:line="240" w:lineRule="auto"/>
              <w:jc w:val="left"/>
            </w:pPr>
            <w:r>
              <w:rPr>
                <w:rFonts w:ascii="宋体" w:hAnsi="宋体" w:eastAsia="宋体" w:cs="宋体"/>
                <w:b w:val="0"/>
              </w:rPr>
              <w:t>国新国证基金管理有限公司</w:t>
            </w:r>
          </w:p>
        </w:tc>
        <w:tc>
          <w:tcPr>
            <w:tcW w:w="0" w:type="dxa"/>
            <w:vAlign w:val="center"/>
          </w:tcPr>
          <w:p>
            <w:pPr>
              <w:spacing w:line="240" w:lineRule="auto"/>
              <w:jc w:val="left"/>
            </w:pPr>
            <w:r>
              <w:rPr>
                <w:rFonts w:ascii="宋体" w:hAnsi="宋体" w:eastAsia="宋体" w:cs="宋体"/>
                <w:b/>
              </w:rPr>
              <w:t>基金托管人</w:t>
            </w:r>
          </w:p>
        </w:tc>
        <w:tc>
          <w:tcPr>
            <w:tcW w:w="0" w:type="dxa"/>
            <w:vAlign w:val="center"/>
          </w:tcPr>
          <w:p>
            <w:pPr>
              <w:spacing w:line="240" w:lineRule="auto"/>
              <w:jc w:val="left"/>
            </w:pPr>
            <w:r>
              <w:rPr>
                <w:rFonts w:ascii="宋体" w:hAnsi="宋体" w:eastAsia="宋体" w:cs="宋体"/>
                <w:b w:val="0"/>
              </w:rPr>
              <w:t>上海浦东发展银行股份有限公司</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基金合同生效日</w:t>
            </w:r>
          </w:p>
        </w:tc>
        <w:tc>
          <w:tcPr>
            <w:tcW w:w="0" w:type="dxa"/>
            <w:vAlign w:val="center"/>
          </w:tcPr>
          <w:p>
            <w:pPr>
              <w:spacing w:line="240" w:lineRule="auto"/>
              <w:jc w:val="left"/>
            </w:pPr>
            <w:r>
              <w:rPr>
                <w:rFonts w:ascii="宋体" w:hAnsi="宋体" w:eastAsia="宋体" w:cs="宋体"/>
                <w:b w:val="0"/>
              </w:rPr>
              <w:t>2023年05月18日</w:t>
            </w:r>
          </w:p>
        </w:tc>
        <w:tc>
          <w:tcPr>
            <w:tcW w:w="0" w:type="dxa"/>
            <w:vAlign w:val="center"/>
          </w:tcPr>
          <w:p>
            <w:pPr>
              <w:spacing w:line="240" w:lineRule="auto"/>
              <w:jc w:val="left"/>
            </w:pPr>
            <w:r>
              <w:rPr>
                <w:rFonts w:ascii="宋体" w:hAnsi="宋体" w:eastAsia="宋体" w:cs="宋体"/>
                <w:b/>
              </w:rPr>
              <w:t>上市交易所及上市日期</w:t>
            </w:r>
          </w:p>
        </w:tc>
        <w:tc>
          <w:tcPr>
            <w:tcW w:w="0" w:type="dxa"/>
            <w:vAlign w:val="center"/>
          </w:tcPr>
          <w:p>
            <w:pPr>
              <w:spacing w:line="240" w:lineRule="auto"/>
              <w:jc w:val="left"/>
            </w:pPr>
            <w:r>
              <w:rPr>
                <w:rFonts w:ascii="宋体" w:hAnsi="宋体" w:eastAsia="宋体" w:cs="宋体"/>
                <w:b w:val="0"/>
              </w:rPr>
              <w:t>-</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基金类型</w:t>
            </w:r>
          </w:p>
        </w:tc>
        <w:tc>
          <w:tcPr>
            <w:tcW w:w="0" w:type="dxa"/>
            <w:vAlign w:val="center"/>
          </w:tcPr>
          <w:p>
            <w:pPr>
              <w:spacing w:line="240" w:lineRule="auto"/>
              <w:jc w:val="left"/>
            </w:pPr>
            <w:r>
              <w:rPr>
                <w:rFonts w:ascii="宋体" w:hAnsi="宋体" w:eastAsia="宋体" w:cs="宋体"/>
                <w:b w:val="0"/>
              </w:rPr>
              <w:t>债券型</w:t>
            </w:r>
          </w:p>
        </w:tc>
        <w:tc>
          <w:tcPr>
            <w:tcW w:w="0" w:type="dxa"/>
            <w:vAlign w:val="center"/>
          </w:tcPr>
          <w:p>
            <w:pPr>
              <w:spacing w:line="240" w:lineRule="auto"/>
              <w:jc w:val="left"/>
            </w:pPr>
            <w:r>
              <w:rPr>
                <w:rFonts w:ascii="宋体" w:hAnsi="宋体" w:eastAsia="宋体" w:cs="宋体"/>
                <w:b/>
              </w:rPr>
              <w:t>交易币种</w:t>
            </w:r>
          </w:p>
        </w:tc>
        <w:tc>
          <w:tcPr>
            <w:tcW w:w="0" w:type="dxa"/>
            <w:vAlign w:val="center"/>
          </w:tcPr>
          <w:p>
            <w:pPr>
              <w:spacing w:line="240" w:lineRule="auto"/>
              <w:jc w:val="left"/>
            </w:pPr>
            <w:r>
              <w:rPr>
                <w:rFonts w:ascii="宋体" w:hAnsi="宋体" w:eastAsia="宋体" w:cs="宋体"/>
                <w:b w:val="0"/>
              </w:rPr>
              <w:t>人民币</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运作方式</w:t>
            </w:r>
          </w:p>
        </w:tc>
        <w:tc>
          <w:tcPr>
            <w:tcW w:w="0" w:type="dxa"/>
            <w:vAlign w:val="center"/>
          </w:tcPr>
          <w:p>
            <w:pPr>
              <w:spacing w:line="240" w:lineRule="auto"/>
              <w:jc w:val="left"/>
            </w:pPr>
            <w:r>
              <w:rPr>
                <w:rFonts w:ascii="宋体" w:hAnsi="宋体" w:eastAsia="宋体" w:cs="宋体"/>
                <w:b w:val="0"/>
              </w:rPr>
              <w:t>契约型定期开放式</w:t>
            </w:r>
          </w:p>
        </w:tc>
        <w:tc>
          <w:tcPr>
            <w:tcW w:w="0" w:type="dxa"/>
            <w:vAlign w:val="center"/>
          </w:tcPr>
          <w:p>
            <w:pPr>
              <w:spacing w:line="240" w:lineRule="auto"/>
              <w:jc w:val="left"/>
            </w:pPr>
            <w:r>
              <w:rPr>
                <w:rFonts w:ascii="宋体" w:hAnsi="宋体" w:eastAsia="宋体" w:cs="宋体"/>
                <w:b/>
              </w:rPr>
              <w:t>开放频率</w:t>
            </w:r>
          </w:p>
        </w:tc>
        <w:tc>
          <w:tcPr>
            <w:tcW w:w="0" w:type="dxa"/>
            <w:vAlign w:val="center"/>
          </w:tcPr>
          <w:p>
            <w:pPr>
              <w:spacing w:line="240" w:lineRule="auto"/>
              <w:jc w:val="left"/>
            </w:pPr>
            <w:r>
              <w:rPr>
                <w:rFonts w:ascii="宋体" w:hAnsi="宋体" w:eastAsia="宋体" w:cs="宋体"/>
                <w:b w:val="0"/>
              </w:rPr>
              <w:t>每三个月开放一次</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Merge w:val="restart"/>
            <w:vAlign w:val="center"/>
          </w:tcPr>
          <w:p>
            <w:pPr>
              <w:spacing w:line="240" w:lineRule="auto"/>
              <w:jc w:val="left"/>
            </w:pPr>
            <w:r>
              <w:rPr>
                <w:rFonts w:ascii="宋体" w:hAnsi="宋体" w:eastAsia="宋体" w:cs="宋体"/>
                <w:b/>
              </w:rPr>
              <w:t>基金经理</w:t>
            </w:r>
          </w:p>
        </w:tc>
        <w:tc>
          <w:tcPr>
            <w:tcW w:w="0" w:type="dxa"/>
            <w:vMerge w:val="restart"/>
            <w:vAlign w:val="center"/>
          </w:tcPr>
          <w:p>
            <w:pPr>
              <w:spacing w:line="240" w:lineRule="auto"/>
              <w:jc w:val="left"/>
            </w:pPr>
            <w:r>
              <w:rPr>
                <w:rFonts w:ascii="宋体" w:hAnsi="宋体" w:eastAsia="宋体" w:cs="宋体"/>
                <w:b w:val="0"/>
              </w:rPr>
              <w:t>张蕊</w:t>
            </w:r>
          </w:p>
        </w:tc>
        <w:tc>
          <w:tcPr>
            <w:tcW w:w="0" w:type="dxa"/>
            <w:vAlign w:val="center"/>
          </w:tcPr>
          <w:p>
            <w:pPr>
              <w:spacing w:line="240" w:lineRule="auto"/>
              <w:jc w:val="left"/>
            </w:pPr>
            <w:r>
              <w:rPr>
                <w:rFonts w:ascii="宋体" w:hAnsi="宋体" w:eastAsia="宋体" w:cs="宋体"/>
                <w:b/>
              </w:rPr>
              <w:t>开始担任本基金基金经理的日期</w:t>
            </w:r>
          </w:p>
        </w:tc>
        <w:tc>
          <w:tcPr>
            <w:tcW w:w="0" w:type="dxa"/>
            <w:vAlign w:val="center"/>
          </w:tcPr>
          <w:p>
            <w:pPr>
              <w:spacing w:line="240" w:lineRule="auto"/>
              <w:jc w:val="left"/>
            </w:pPr>
            <w:r>
              <w:rPr>
                <w:rFonts w:ascii="宋体" w:hAnsi="宋体" w:eastAsia="宋体" w:cs="宋体"/>
                <w:b w:val="0"/>
              </w:rPr>
              <w:t>2023年07月17日</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vMerge w:val="continue"/>
          </w:tcPr>
          <w:p/>
        </w:tc>
        <w:tc>
          <w:tcPr>
            <w:vMerge w:val="continue"/>
          </w:tcPr>
          <w:p/>
        </w:tc>
        <w:tc>
          <w:tcPr>
            <w:tcW w:w="0" w:type="dxa"/>
            <w:vAlign w:val="center"/>
          </w:tcPr>
          <w:p>
            <w:pPr>
              <w:spacing w:line="240" w:lineRule="auto"/>
              <w:jc w:val="left"/>
            </w:pPr>
            <w:r>
              <w:rPr>
                <w:rFonts w:ascii="宋体" w:hAnsi="宋体" w:eastAsia="宋体" w:cs="宋体"/>
                <w:b/>
              </w:rPr>
              <w:t>证券从业日期</w:t>
            </w:r>
          </w:p>
        </w:tc>
        <w:tc>
          <w:tcPr>
            <w:tcW w:w="0" w:type="dxa"/>
            <w:vAlign w:val="center"/>
          </w:tcPr>
          <w:p>
            <w:pPr>
              <w:spacing w:line="240" w:lineRule="auto"/>
              <w:jc w:val="left"/>
            </w:pPr>
            <w:r>
              <w:rPr>
                <w:rFonts w:ascii="宋体" w:hAnsi="宋体" w:eastAsia="宋体" w:cs="宋体"/>
                <w:b w:val="0"/>
              </w:rPr>
              <w:t>2011年02月11日</w:t>
            </w:r>
          </w:p>
        </w:tc>
      </w:tr>
    </w:tbl>
    <w:p/>
    <w:p>
      <w:pPr>
        <w:pStyle w:val="3"/>
        <w:jc w:val="left"/>
      </w:pPr>
      <w:r>
        <w:rPr>
          <w:rFonts w:ascii="宋体" w:hAnsi="宋体" w:eastAsia="宋体" w:cs="宋体"/>
        </w:rPr>
        <w:t>二、基金投资与净值表现</w:t>
      </w:r>
    </w:p>
    <w:p>
      <w:r>
        <w:rPr>
          <w:rFonts w:ascii="宋体" w:hAnsi="宋体" w:eastAsia="宋体" w:cs="宋体"/>
          <w:b/>
        </w:rPr>
        <w:t>（一）投资目标与投资策略</w:t>
      </w:r>
    </w:p>
    <w:p>
      <w:r>
        <w:rPr>
          <w:rFonts w:ascii="宋体" w:hAnsi="宋体" w:eastAsia="宋体" w:cs="宋体"/>
          <w:b w:val="0"/>
        </w:rPr>
        <w:t xml:space="preserve">    投资者可阅读本基金《招募说明书》“基金的投资”章节了解详细情况。</w:t>
      </w:r>
    </w:p>
    <w:tbl>
      <w:tblPr>
        <w:tblStyle w:val="27"/>
        <w:tblW w:w="5000" w:type="pct"/>
        <w:tblInd w:w="0" w:type="dxa"/>
        <w:tblBorders>
          <w:top w:val="single" w:color="auto" w:sz="4" w:space="0"/>
          <w:left w:val="none" w:color="auto" w:sz="4" w:space="0"/>
          <w:bottom w:val="single" w:color="auto" w:sz="4" w:space="0"/>
          <w:right w:val="none" w:color="auto" w:sz="4" w:space="0"/>
          <w:insideH w:val="dotted" w:color="auto" w:sz="4" w:space="0"/>
          <w:insideV w:val="none" w:color="auto" w:sz="4" w:space="0"/>
        </w:tblBorders>
        <w:tblLayout w:type="autofit"/>
        <w:tblCellMar>
          <w:top w:w="0" w:type="dxa"/>
          <w:left w:w="108" w:type="dxa"/>
          <w:bottom w:w="0" w:type="dxa"/>
          <w:right w:w="108" w:type="dxa"/>
        </w:tblCellMar>
      </w:tblPr>
      <w:tblGrid>
        <w:gridCol w:w="2143"/>
        <w:gridCol w:w="7143"/>
      </w:tblGrid>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投资目标</w:t>
            </w:r>
          </w:p>
        </w:tc>
        <w:tc>
          <w:tcPr>
            <w:tcW w:w="3846" w:type="pct"/>
            <w:vAlign w:val="center"/>
          </w:tcPr>
          <w:p>
            <w:pPr>
              <w:spacing w:line="240" w:lineRule="auto"/>
              <w:jc w:val="left"/>
            </w:pPr>
            <w:r>
              <w:rPr>
                <w:rFonts w:ascii="宋体" w:hAnsi="宋体" w:eastAsia="宋体" w:cs="宋体"/>
                <w:b w:val="0"/>
              </w:rPr>
              <w:t>本基金在严格控制投资组合风险的前提下，力争为基金份额持有人获取超越业绩比较基准的投资回报。</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投资范围</w:t>
            </w:r>
          </w:p>
        </w:tc>
        <w:tc>
          <w:tcPr>
            <w:tcW w:w="3846" w:type="pct"/>
            <w:vAlign w:val="center"/>
          </w:tcPr>
          <w:p>
            <w:pPr>
              <w:spacing w:line="240" w:lineRule="auto"/>
              <w:jc w:val="left"/>
            </w:pPr>
            <w:r>
              <w:rPr>
                <w:rFonts w:ascii="宋体" w:hAnsi="宋体" w:eastAsia="宋体" w:cs="宋体"/>
                <w:b w:val="0"/>
              </w:rPr>
              <w:t>本基金的投资范围主要为具有良好流动性的金融工具，包括债券（国债、政策性金融债、地方政府债、金融债、央行票据等）、债券回购、同业存单、银行存款（包括协议存款、定期存款及其他银行存款）、现金以及法律法规或中国证监会允许基金投资的其他金融工具（但须符合中国证监会相关规定）。</w:t>
            </w:r>
            <w:r>
              <w:rPr>
                <w:rFonts w:ascii="宋体" w:hAnsi="宋体" w:eastAsia="宋体" w:cs="宋体"/>
                <w:b w:val="0"/>
              </w:rPr>
              <w:br w:type="textWrapping"/>
            </w:r>
            <w:r>
              <w:rPr>
                <w:rFonts w:ascii="宋体" w:hAnsi="宋体" w:eastAsia="宋体" w:cs="宋体"/>
                <w:b w:val="0"/>
              </w:rPr>
              <w:t>本基金不投资股票、可转换债券、可交换债券。</w:t>
            </w:r>
            <w:r>
              <w:rPr>
                <w:rFonts w:ascii="宋体" w:hAnsi="宋体" w:eastAsia="宋体" w:cs="宋体"/>
                <w:b w:val="0"/>
              </w:rPr>
              <w:br w:type="textWrapping"/>
            </w:r>
            <w:r>
              <w:rPr>
                <w:rFonts w:ascii="宋体" w:hAnsi="宋体" w:eastAsia="宋体" w:cs="宋体"/>
                <w:b w:val="0"/>
              </w:rPr>
              <w:t>如法律法规或监管机构以后允许基金投资其他品种，基金管理人在履行适当程序后，可以将其纳入投资范围。</w:t>
            </w:r>
            <w:r>
              <w:rPr>
                <w:rFonts w:ascii="宋体" w:hAnsi="宋体" w:eastAsia="宋体" w:cs="宋体"/>
                <w:b w:val="0"/>
              </w:rPr>
              <w:br w:type="textWrapping"/>
            </w:r>
            <w:r>
              <w:rPr>
                <w:rFonts w:ascii="宋体" w:hAnsi="宋体" w:eastAsia="宋体" w:cs="宋体"/>
                <w:b w:val="0"/>
              </w:rPr>
              <w:t>基金的投资组合比例为：本基金对债券的投资比例不低于基金资产的80%，但应开放期流动性需要，为保护基金份额持有人利益，在每次开放期开始前10个工作日、开放期及开放期结束后10个工作日的期间内，基金投资不受上述比例限制。在开放期内，本基金持有的现金（不包括结算备付金、存出保证金、应收申购款等）或者到期日在一年以内的政府债券不低于基金资产净值的5%，在封闭期本基金不受前述5%的限制。</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主要投资策略</w:t>
            </w:r>
          </w:p>
        </w:tc>
        <w:tc>
          <w:tcPr>
            <w:tcW w:w="3846" w:type="pct"/>
            <w:vAlign w:val="center"/>
          </w:tcPr>
          <w:p>
            <w:pPr>
              <w:spacing w:line="240" w:lineRule="auto"/>
              <w:jc w:val="left"/>
            </w:pPr>
            <w:r>
              <w:rPr>
                <w:rFonts w:ascii="宋体" w:hAnsi="宋体" w:eastAsia="宋体" w:cs="宋体"/>
                <w:b w:val="0"/>
              </w:rPr>
              <w:t>（一）封闭期投资策略</w:t>
            </w:r>
            <w:r>
              <w:rPr>
                <w:rFonts w:ascii="宋体" w:hAnsi="宋体" w:eastAsia="宋体" w:cs="宋体"/>
                <w:b w:val="0"/>
              </w:rPr>
              <w:br w:type="textWrapping"/>
            </w:r>
            <w:r>
              <w:rPr>
                <w:rFonts w:ascii="宋体" w:hAnsi="宋体" w:eastAsia="宋体" w:cs="宋体"/>
                <w:b w:val="0"/>
              </w:rPr>
              <w:t>本基金通过综合分析国内外宏观经济运行状况和金融市场运行趋势等因素，根据整体资产配置策略动态调整大类金融资产的比例；在充分分析债券市场环境及市场流动性的基础上，决定组合的久期水平、期限结构和类属配置，并在此基础之上实施积极的债券投资组合管理，以获取较高的投资收益。</w:t>
            </w:r>
            <w:r>
              <w:rPr>
                <w:rFonts w:ascii="宋体" w:hAnsi="宋体" w:eastAsia="宋体" w:cs="宋体"/>
                <w:b w:val="0"/>
              </w:rPr>
              <w:br w:type="textWrapping"/>
            </w:r>
            <w:r>
              <w:rPr>
                <w:rFonts w:ascii="宋体" w:hAnsi="宋体" w:eastAsia="宋体" w:cs="宋体"/>
                <w:b w:val="0"/>
              </w:rPr>
              <w:t>1、债券资产配置策略</w:t>
            </w:r>
            <w:r>
              <w:rPr>
                <w:rFonts w:ascii="宋体" w:hAnsi="宋体" w:eastAsia="宋体" w:cs="宋体"/>
                <w:b w:val="0"/>
              </w:rPr>
              <w:br w:type="textWrapping"/>
            </w:r>
            <w:r>
              <w:rPr>
                <w:rFonts w:ascii="宋体" w:hAnsi="宋体" w:eastAsia="宋体" w:cs="宋体"/>
                <w:b w:val="0"/>
              </w:rPr>
              <w:t>在宏观经济趋势研究、货币及财政政策趋势研究的基础上，以中长期利率趋势分析和债券市场供求关系研究为核心，自上而下地决定债券组合久期、动态调整各类金融资产比例，结合收益率水平曲线形态分析和类属资产相对估值分析，优化债券组合的期限结构和类属配置。</w:t>
            </w:r>
            <w:r>
              <w:rPr>
                <w:rFonts w:ascii="宋体" w:hAnsi="宋体" w:eastAsia="宋体" w:cs="宋体"/>
                <w:b w:val="0"/>
              </w:rPr>
              <w:br w:type="textWrapping"/>
            </w:r>
            <w:r>
              <w:rPr>
                <w:rFonts w:ascii="宋体" w:hAnsi="宋体" w:eastAsia="宋体" w:cs="宋体"/>
                <w:b w:val="0"/>
              </w:rPr>
              <w:t>（1）久期配置</w:t>
            </w:r>
            <w:r>
              <w:rPr>
                <w:rFonts w:ascii="宋体" w:hAnsi="宋体" w:eastAsia="宋体" w:cs="宋体"/>
                <w:b w:val="0"/>
              </w:rPr>
              <w:br w:type="textWrapping"/>
            </w:r>
            <w:r>
              <w:rPr>
                <w:rFonts w:ascii="宋体" w:hAnsi="宋体" w:eastAsia="宋体" w:cs="宋体"/>
                <w:b w:val="0"/>
              </w:rPr>
              <w:t>基金管理人将通过积极主动地预测市场利率的变动趋势，相应调整债券组合的久期配置，以达到提高债券组合收益、降低债券组合利率风险的目的。在确定债券组合久期的过程中，基金管理人将在判断市场利率波动趋势的基础上，根据债券市场收益率曲线的当前形态，通过合理假设下的情景分析和压力测试，最后确定最优的债券组合久期。</w:t>
            </w:r>
            <w:r>
              <w:rPr>
                <w:rFonts w:ascii="宋体" w:hAnsi="宋体" w:eastAsia="宋体" w:cs="宋体"/>
                <w:b w:val="0"/>
              </w:rPr>
              <w:br w:type="textWrapping"/>
            </w:r>
            <w:r>
              <w:rPr>
                <w:rFonts w:ascii="宋体" w:hAnsi="宋体" w:eastAsia="宋体" w:cs="宋体"/>
                <w:b w:val="0"/>
              </w:rPr>
              <w:t>根据对市场利率变化趋势的预期，可适当调整组合久期，预期市场利率水平将上升时，适当降低组合久期；预期市场利率将下降时，适当提高组合久期。</w:t>
            </w:r>
            <w:r>
              <w:rPr>
                <w:rFonts w:ascii="宋体" w:hAnsi="宋体" w:eastAsia="宋体" w:cs="宋体"/>
                <w:b w:val="0"/>
              </w:rPr>
              <w:br w:type="textWrapping"/>
            </w:r>
            <w:r>
              <w:rPr>
                <w:rFonts w:ascii="宋体" w:hAnsi="宋体" w:eastAsia="宋体" w:cs="宋体"/>
                <w:b w:val="0"/>
              </w:rPr>
              <w:t>（2）期限结构配置</w:t>
            </w:r>
            <w:r>
              <w:rPr>
                <w:rFonts w:ascii="宋体" w:hAnsi="宋体" w:eastAsia="宋体" w:cs="宋体"/>
                <w:b w:val="0"/>
              </w:rPr>
              <w:br w:type="textWrapping"/>
            </w:r>
            <w:r>
              <w:rPr>
                <w:rFonts w:ascii="宋体" w:hAnsi="宋体" w:eastAsia="宋体" w:cs="宋体"/>
                <w:b w:val="0"/>
              </w:rPr>
              <w:t>对同一类属收益率曲线形态和期限结构变动进行分析，在给定组合久期以及其它组合约束条件的情形下，通过建立债券组合优化数量模型，确定最优的期限结构。</w:t>
            </w:r>
            <w:r>
              <w:rPr>
                <w:rFonts w:ascii="宋体" w:hAnsi="宋体" w:eastAsia="宋体" w:cs="宋体"/>
                <w:b w:val="0"/>
              </w:rPr>
              <w:br w:type="textWrapping"/>
            </w:r>
            <w:r>
              <w:rPr>
                <w:rFonts w:ascii="宋体" w:hAnsi="宋体" w:eastAsia="宋体" w:cs="宋体"/>
                <w:b w:val="0"/>
              </w:rPr>
              <w:t>（3）类属配置</w:t>
            </w:r>
            <w:r>
              <w:rPr>
                <w:rFonts w:ascii="宋体" w:hAnsi="宋体" w:eastAsia="宋体" w:cs="宋体"/>
                <w:b w:val="0"/>
              </w:rPr>
              <w:br w:type="textWrapping"/>
            </w:r>
            <w:r>
              <w:rPr>
                <w:rFonts w:ascii="宋体" w:hAnsi="宋体" w:eastAsia="宋体" w:cs="宋体"/>
                <w:b w:val="0"/>
              </w:rPr>
              <w:t>对不同类型固定收益品种的利率风险、流动性等因素进行分析，研究各类型投资品种的利差和变化趋势，制定债券类属配置策略，以获取不同债券类属之间利差变化所带来的投资收益。</w:t>
            </w:r>
            <w:r>
              <w:rPr>
                <w:rFonts w:ascii="宋体" w:hAnsi="宋体" w:eastAsia="宋体" w:cs="宋体"/>
                <w:b w:val="0"/>
              </w:rPr>
              <w:br w:type="textWrapping"/>
            </w:r>
            <w:r>
              <w:rPr>
                <w:rFonts w:ascii="宋体" w:hAnsi="宋体" w:eastAsia="宋体" w:cs="宋体"/>
                <w:b w:val="0"/>
              </w:rPr>
              <w:t>2、信用类固定收益类证券的投资策略</w:t>
            </w:r>
            <w:r>
              <w:rPr>
                <w:rFonts w:ascii="宋体" w:hAnsi="宋体" w:eastAsia="宋体" w:cs="宋体"/>
                <w:b w:val="0"/>
              </w:rPr>
              <w:br w:type="textWrapping"/>
            </w:r>
            <w:r>
              <w:rPr>
                <w:rFonts w:ascii="宋体" w:hAnsi="宋体" w:eastAsia="宋体" w:cs="宋体"/>
                <w:b w:val="0"/>
              </w:rPr>
              <w:t>信用品种收益率的主要影响因素为利率品种基准收益与信用利差。信用利差是信用产品相对于国债、央行票据等利率产品获取较高收益的来源，主要受两方面的影响：一是债券所对应的信用等级的市场平均信用利差水平，另一方面为发行人本身的信用状况。</w:t>
            </w:r>
            <w:r>
              <w:rPr>
                <w:rFonts w:ascii="宋体" w:hAnsi="宋体" w:eastAsia="宋体" w:cs="宋体"/>
                <w:b w:val="0"/>
              </w:rPr>
              <w:br w:type="textWrapping"/>
            </w:r>
            <w:r>
              <w:rPr>
                <w:rFonts w:ascii="宋体" w:hAnsi="宋体" w:eastAsia="宋体" w:cs="宋体"/>
                <w:b w:val="0"/>
              </w:rPr>
              <w:t>信用债市场整体的信用利差水平和信用债发行主体自身信用状况的变化都会对信用债个券的利差水平产生重要影响。信用利差方面，本基金将从经济周期、国家政策、行业景气度和债券市场的供求状况等多方面考量信用利差的整体变化趋势。发债主体信用状况方面，本基金采取内部评级与外部评级相结合的办法，对所持债券面临的信用风险进行综合评估。获取数据不仅限于经营和财务数据，同时看重外部支持和公司内部治理结构。本基金对进入债券库中的信用债券通过内部信用评级，运用定性和定量相结合、动态和静态相结合的方法，建立相应的债券库。具体操作上，采用指标定量打分制，对债券发行人进行综合打分评级，并动态跟踪债券发行人的状况，建立相应预警指标，及时对信用债券库进行更新维护。同时，本基金结合适度分散的投资策略，适时调整投资组合，降低信用债券投资的信用风险。</w:t>
            </w:r>
            <w:r>
              <w:rPr>
                <w:rFonts w:ascii="宋体" w:hAnsi="宋体" w:eastAsia="宋体" w:cs="宋体"/>
                <w:b w:val="0"/>
              </w:rPr>
              <w:br w:type="textWrapping"/>
            </w:r>
            <w:r>
              <w:rPr>
                <w:rFonts w:ascii="宋体" w:hAnsi="宋体" w:eastAsia="宋体" w:cs="宋体"/>
                <w:b w:val="0"/>
              </w:rPr>
              <w:t>为控制信用风险，基金管理人将根据国家有权机构批准或认可的信用评级机构提供的信用评级，并主要依靠内部评级系统分析信用债的相对信用水平、违约风险及理论信用利差。</w:t>
            </w:r>
            <w:r>
              <w:rPr>
                <w:rFonts w:ascii="宋体" w:hAnsi="宋体" w:eastAsia="宋体" w:cs="宋体"/>
                <w:b w:val="0"/>
              </w:rPr>
              <w:br w:type="textWrapping"/>
            </w:r>
            <w:r>
              <w:rPr>
                <w:rFonts w:ascii="宋体" w:hAnsi="宋体" w:eastAsia="宋体" w:cs="宋体"/>
                <w:b w:val="0"/>
              </w:rPr>
              <w:t>本基金主动投资的信用债为信用评级在AA+级（含）以上的信用债，对信用评级的认定参照基金管理人选定的评级机构出具的信用评级，其中，信用债的信用评级依照评级机构出具的债项信用评级，若无债项信用评级的，依照其主体信用评级。本基金投资于信用债，基金资产总值不超过基金资产净值140%（含封闭期内），本基金投资于评级AAA以下的信用债，基金不开展融资回购。</w:t>
            </w:r>
            <w:r>
              <w:rPr>
                <w:rFonts w:ascii="宋体" w:hAnsi="宋体" w:eastAsia="宋体" w:cs="宋体"/>
                <w:b w:val="0"/>
              </w:rPr>
              <w:br w:type="textWrapping"/>
            </w:r>
            <w:r>
              <w:rPr>
                <w:rFonts w:ascii="宋体" w:hAnsi="宋体" w:eastAsia="宋体" w:cs="宋体"/>
                <w:b w:val="0"/>
              </w:rPr>
              <w:t>本基金投资于评级AA+的信用债比例不高于信用债资产的50%，投资于评级AAA的信用债比例不低于信用债资产的50%。因信用评级下降、证券市场波动、基金规模变动等基金管理人之外的因素致使基金投资比例不符合上述规定的，基金管理人应当在评级报告发布之日或不符合上述规定之日起3个月内予以全部卖出或完成调整。</w:t>
            </w:r>
            <w:r>
              <w:rPr>
                <w:rFonts w:ascii="宋体" w:hAnsi="宋体" w:eastAsia="宋体" w:cs="宋体"/>
                <w:b w:val="0"/>
              </w:rPr>
              <w:br w:type="textWrapping"/>
            </w:r>
            <w:r>
              <w:rPr>
                <w:rFonts w:ascii="宋体" w:hAnsi="宋体" w:eastAsia="宋体" w:cs="宋体"/>
                <w:b w:val="0"/>
              </w:rPr>
              <w:t>3、息差策略</w:t>
            </w:r>
            <w:r>
              <w:rPr>
                <w:rFonts w:ascii="宋体" w:hAnsi="宋体" w:eastAsia="宋体" w:cs="宋体"/>
                <w:b w:val="0"/>
              </w:rPr>
              <w:br w:type="textWrapping"/>
            </w:r>
            <w:r>
              <w:rPr>
                <w:rFonts w:ascii="宋体" w:hAnsi="宋体" w:eastAsia="宋体" w:cs="宋体"/>
                <w:b w:val="0"/>
              </w:rPr>
              <w:t>利用回购等方式融入低成本资金，购买较高收益的债券，以期获取超额收益的操作方式。</w:t>
            </w:r>
            <w:r>
              <w:rPr>
                <w:rFonts w:ascii="宋体" w:hAnsi="宋体" w:eastAsia="宋体" w:cs="宋体"/>
                <w:b w:val="0"/>
              </w:rPr>
              <w:br w:type="textWrapping"/>
            </w:r>
            <w:r>
              <w:rPr>
                <w:rFonts w:ascii="宋体" w:hAnsi="宋体" w:eastAsia="宋体" w:cs="宋体"/>
                <w:b w:val="0"/>
              </w:rPr>
              <w:t>4、互换策略</w:t>
            </w:r>
            <w:r>
              <w:rPr>
                <w:rFonts w:ascii="宋体" w:hAnsi="宋体" w:eastAsia="宋体" w:cs="宋体"/>
                <w:b w:val="0"/>
              </w:rPr>
              <w:br w:type="textWrapping"/>
            </w:r>
            <w:r>
              <w:rPr>
                <w:rFonts w:ascii="宋体" w:hAnsi="宋体" w:eastAsia="宋体" w:cs="宋体"/>
                <w:b w:val="0"/>
              </w:rPr>
              <w:t>不同券种在利息、违约风险、久期、流动性、税收和衍生条款等方面存在差别，基金管理人可以同时买入和卖出具有相近特性的两个或两个以上券种，赚取收益级差。</w:t>
            </w:r>
            <w:r>
              <w:rPr>
                <w:rFonts w:ascii="宋体" w:hAnsi="宋体" w:eastAsia="宋体" w:cs="宋体"/>
                <w:b w:val="0"/>
              </w:rPr>
              <w:br w:type="textWrapping"/>
            </w:r>
            <w:r>
              <w:rPr>
                <w:rFonts w:ascii="宋体" w:hAnsi="宋体" w:eastAsia="宋体" w:cs="宋体"/>
                <w:b w:val="0"/>
              </w:rPr>
              <w:t>5、回购策略</w:t>
            </w:r>
            <w:r>
              <w:rPr>
                <w:rFonts w:ascii="宋体" w:hAnsi="宋体" w:eastAsia="宋体" w:cs="宋体"/>
                <w:b w:val="0"/>
              </w:rPr>
              <w:br w:type="textWrapping"/>
            </w:r>
            <w:r>
              <w:rPr>
                <w:rFonts w:ascii="宋体" w:hAnsi="宋体" w:eastAsia="宋体" w:cs="宋体"/>
                <w:b w:val="0"/>
              </w:rPr>
              <w:t>本基金在基础组合的基础上，使用基础组合持有的债券进行回购融入短期资金滚动操作，投资于收益率高于融资成本的其它获利机会，从而获得杠杆放大收益。</w:t>
            </w:r>
            <w:r>
              <w:rPr>
                <w:rFonts w:ascii="宋体" w:hAnsi="宋体" w:eastAsia="宋体" w:cs="宋体"/>
                <w:b w:val="0"/>
              </w:rPr>
              <w:br w:type="textWrapping"/>
            </w:r>
            <w:r>
              <w:rPr>
                <w:rFonts w:ascii="宋体" w:hAnsi="宋体" w:eastAsia="宋体" w:cs="宋体"/>
                <w:b w:val="0"/>
              </w:rPr>
              <w:t>6、流动性管理策略</w:t>
            </w:r>
            <w:r>
              <w:rPr>
                <w:rFonts w:ascii="宋体" w:hAnsi="宋体" w:eastAsia="宋体" w:cs="宋体"/>
                <w:b w:val="0"/>
              </w:rPr>
              <w:br w:type="textWrapping"/>
            </w:r>
            <w:r>
              <w:rPr>
                <w:rFonts w:ascii="宋体" w:hAnsi="宋体" w:eastAsia="宋体" w:cs="宋体"/>
                <w:b w:val="0"/>
              </w:rPr>
              <w:t>考虑到本基金封闭运作和开放运作交替循环的情形，对投资组合进行流动性管理，确保基金资产的变现能力。</w:t>
            </w:r>
            <w:r>
              <w:rPr>
                <w:rFonts w:ascii="宋体" w:hAnsi="宋体" w:eastAsia="宋体" w:cs="宋体"/>
                <w:b w:val="0"/>
              </w:rPr>
              <w:br w:type="textWrapping"/>
            </w:r>
            <w:r>
              <w:rPr>
                <w:rFonts w:ascii="宋体" w:hAnsi="宋体" w:eastAsia="宋体" w:cs="宋体"/>
                <w:b w:val="0"/>
              </w:rPr>
              <w:t>（二）开放期投资策略</w:t>
            </w:r>
            <w:r>
              <w:rPr>
                <w:rFonts w:ascii="宋体" w:hAnsi="宋体" w:eastAsia="宋体" w:cs="宋体"/>
                <w:b w:val="0"/>
              </w:rPr>
              <w:br w:type="textWrapping"/>
            </w:r>
            <w:r>
              <w:rPr>
                <w:rFonts w:ascii="宋体" w:hAnsi="宋体" w:eastAsia="宋体" w:cs="宋体"/>
                <w:b w:val="0"/>
              </w:rPr>
              <w:t>开放期内，本基金为保持较高的组合流动性，方便投资人安排投资，在遵守本基金有关投资限制与投资比例的前提下，将主要投资于高流动性的投资品种，防范流动性风险，满足开放期的流动性需求。同时，基金管理人将密切关注基金的申购赎回情况，对投资组合的现金比例进行结构化管理。也会通过回购的滚动操作和债券品种的期限结构搭配，有效分配基金的现金流，保持本基金在开放期的流动性，方便投资人安排投资。</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业绩比较基准</w:t>
            </w:r>
          </w:p>
        </w:tc>
        <w:tc>
          <w:tcPr>
            <w:tcW w:w="3846" w:type="pct"/>
            <w:vAlign w:val="center"/>
          </w:tcPr>
          <w:p>
            <w:pPr>
              <w:spacing w:line="240" w:lineRule="auto"/>
              <w:jc w:val="left"/>
            </w:pPr>
            <w:r>
              <w:rPr>
                <w:rFonts w:ascii="宋体" w:hAnsi="宋体" w:eastAsia="宋体" w:cs="宋体"/>
                <w:b w:val="0"/>
              </w:rPr>
              <w:t>中债-国债及政策性银行债指数收益率*80%+一年期定期存款利率（税后）*20%</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风险收益特征</w:t>
            </w:r>
          </w:p>
        </w:tc>
        <w:tc>
          <w:tcPr>
            <w:tcW w:w="3846" w:type="pct"/>
            <w:vAlign w:val="center"/>
          </w:tcPr>
          <w:p>
            <w:pPr>
              <w:spacing w:line="240" w:lineRule="auto"/>
              <w:jc w:val="left"/>
            </w:pPr>
            <w:r>
              <w:rPr>
                <w:rFonts w:ascii="宋体" w:hAnsi="宋体" w:eastAsia="宋体" w:cs="宋体"/>
                <w:b w:val="0"/>
              </w:rPr>
              <w:t>本基金为债券型基金，预期收益和预期风险高于货币市场基金，但低于混合型基金、股票型基金。</w:t>
            </w:r>
          </w:p>
        </w:tc>
      </w:tr>
    </w:tbl>
    <w:p/>
    <w:p>
      <w:r>
        <w:rPr>
          <w:rFonts w:ascii="宋体" w:hAnsi="宋体" w:eastAsia="宋体" w:cs="宋体"/>
          <w:b/>
        </w:rPr>
        <w:t>（二）投资组合资产配置图表/区域配置图表</w:t>
      </w:r>
    </w:p>
    <w:p>
      <w:r>
        <w:drawing>
          <wp:inline distT="0" distB="0" distL="0" distR="0">
            <wp:extent cx="5715000" cy="3048000"/>
            <wp:effectExtent l="0" t="0" r="0" b="0"/>
            <wp:docPr id="1" name="Drawing 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1" descr="Generated"/>
                    <pic:cNvPicPr>
                      <a:picLocks noChangeAspect="1"/>
                    </pic:cNvPicPr>
                  </pic:nvPicPr>
                  <pic:blipFill>
                    <a:blip r:embed="rId10"/>
                    <a:stretch>
                      <a:fillRect/>
                    </a:stretch>
                  </pic:blipFill>
                  <pic:spPr>
                    <a:xfrm>
                      <a:off x="0" y="0"/>
                      <a:ext cx="5715000" cy="3048000"/>
                    </a:xfrm>
                    <a:prstGeom prst="rect">
                      <a:avLst/>
                    </a:prstGeom>
                  </pic:spPr>
                </pic:pic>
              </a:graphicData>
            </a:graphic>
          </wp:inline>
        </w:drawing>
      </w:r>
    </w:p>
    <w:p/>
    <w:p>
      <w:r>
        <w:rPr>
          <w:rFonts w:ascii="宋体" w:hAnsi="宋体" w:eastAsia="宋体" w:cs="宋体"/>
          <w:b/>
        </w:rPr>
        <w:t>（三）自基金合同生效以来/最近十年（孰短）基金每年的净值增长率及与同期业绩比较基准的比较图</w:t>
      </w:r>
    </w:p>
    <w:p>
      <w:r>
        <w:drawing>
          <wp:inline distT="0" distB="0" distL="0" distR="0">
            <wp:extent cx="5715000" cy="3048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11"/>
                    <a:stretch>
                      <a:fillRect/>
                    </a:stretch>
                  </pic:blipFill>
                  <pic:spPr>
                    <a:xfrm>
                      <a:off x="0" y="0"/>
                      <a:ext cx="5715000" cy="3048000"/>
                    </a:xfrm>
                    <a:prstGeom prst="rect">
                      <a:avLst/>
                    </a:prstGeom>
                  </pic:spPr>
                </pic:pic>
              </a:graphicData>
            </a:graphic>
          </wp:inline>
        </w:drawing>
      </w:r>
    </w:p>
    <w:p>
      <w:r>
        <w:rPr>
          <w:rFonts w:ascii="宋体" w:hAnsi="宋体" w:eastAsia="宋体" w:cs="宋体"/>
          <w:b w:val="0"/>
        </w:rPr>
        <w:t>注：业绩表现截止日期为2025年12月31日。基金过往业绩不代表未来表现。</w:t>
      </w:r>
    </w:p>
    <w:p/>
    <w:p>
      <w:pPr>
        <w:pStyle w:val="3"/>
        <w:jc w:val="left"/>
      </w:pPr>
      <w:r>
        <w:rPr>
          <w:rFonts w:ascii="宋体" w:hAnsi="宋体" w:eastAsia="宋体" w:cs="宋体"/>
        </w:rPr>
        <w:t>三、投资本基金涉及的费用</w:t>
      </w:r>
    </w:p>
    <w:p>
      <w:r>
        <w:rPr>
          <w:rFonts w:ascii="宋体" w:hAnsi="宋体" w:eastAsia="宋体" w:cs="宋体"/>
          <w:b/>
        </w:rPr>
        <w:t>（一）基金销售相关费用</w:t>
      </w:r>
    </w:p>
    <w:p>
      <w:r>
        <w:rPr>
          <w:rFonts w:ascii="宋体" w:hAnsi="宋体" w:eastAsia="宋体" w:cs="宋体"/>
          <w:b w:val="0"/>
        </w:rPr>
        <w:t>以下费用在申购/赎回基金过程中收取：</w:t>
      </w:r>
    </w:p>
    <w:tbl>
      <w:tblPr>
        <w:tblStyle w:val="27"/>
        <w:tblW w:w="5000" w:type="pct"/>
        <w:tblInd w:w="0" w:type="dxa"/>
        <w:tblBorders>
          <w:top w:val="single" w:color="auto" w:sz="4" w:space="0"/>
          <w:left w:val="none" w:color="auto" w:sz="4" w:space="0"/>
          <w:bottom w:val="single" w:color="auto" w:sz="4" w:space="0"/>
          <w:right w:val="none" w:color="auto" w:sz="4" w:space="0"/>
          <w:insideH w:val="dotted" w:color="auto" w:sz="4" w:space="0"/>
          <w:insideV w:val="none" w:color="auto" w:sz="4" w:space="0"/>
        </w:tblBorders>
        <w:tblLayout w:type="autofit"/>
        <w:tblCellMar>
          <w:top w:w="0" w:type="dxa"/>
          <w:left w:w="108" w:type="dxa"/>
          <w:bottom w:w="0" w:type="dxa"/>
          <w:right w:w="108" w:type="dxa"/>
        </w:tblCellMar>
      </w:tblPr>
      <w:tblGrid>
        <w:gridCol w:w="1428"/>
        <w:gridCol w:w="3571"/>
        <w:gridCol w:w="2143"/>
        <w:gridCol w:w="2144"/>
      </w:tblGrid>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769" w:type="pct"/>
            <w:vAlign w:val="center"/>
          </w:tcPr>
          <w:p>
            <w:pPr>
              <w:spacing w:line="240" w:lineRule="auto"/>
              <w:jc w:val="left"/>
            </w:pPr>
            <w:r>
              <w:rPr>
                <w:rFonts w:ascii="宋体" w:hAnsi="宋体" w:eastAsia="宋体" w:cs="宋体"/>
                <w:b/>
              </w:rPr>
              <w:t>费用类型</w:t>
            </w:r>
          </w:p>
        </w:tc>
        <w:tc>
          <w:tcPr>
            <w:tcW w:w="1923" w:type="pct"/>
            <w:vAlign w:val="center"/>
          </w:tcPr>
          <w:p>
            <w:pPr>
              <w:spacing w:line="240" w:lineRule="auto"/>
              <w:jc w:val="left"/>
            </w:pPr>
            <w:r>
              <w:rPr>
                <w:rFonts w:ascii="宋体" w:hAnsi="宋体" w:eastAsia="宋体" w:cs="宋体"/>
                <w:b/>
              </w:rPr>
              <w:t>份额(S)或金额(M)/持有期限(N)</w:t>
            </w:r>
          </w:p>
        </w:tc>
        <w:tc>
          <w:tcPr>
            <w:tcW w:w="1154" w:type="pct"/>
            <w:vAlign w:val="center"/>
          </w:tcPr>
          <w:p>
            <w:pPr>
              <w:spacing w:line="240" w:lineRule="auto"/>
              <w:jc w:val="left"/>
            </w:pPr>
            <w:r>
              <w:rPr>
                <w:rFonts w:ascii="宋体" w:hAnsi="宋体" w:eastAsia="宋体" w:cs="宋体"/>
                <w:b/>
              </w:rPr>
              <w:t>收费方式/费率</w:t>
            </w:r>
          </w:p>
        </w:tc>
        <w:tc>
          <w:tcPr>
            <w:tcW w:w="1154" w:type="pct"/>
            <w:vAlign w:val="center"/>
          </w:tcPr>
          <w:p>
            <w:pPr>
              <w:spacing w:line="240" w:lineRule="auto"/>
              <w:jc w:val="left"/>
            </w:pPr>
            <w:r>
              <w:rPr>
                <w:rFonts w:ascii="宋体" w:hAnsi="宋体" w:eastAsia="宋体" w:cs="宋体"/>
                <w:b/>
              </w:rPr>
              <w:t>备注</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Merge w:val="restart"/>
            <w:vAlign w:val="center"/>
          </w:tcPr>
          <w:p>
            <w:pPr>
              <w:spacing w:line="240" w:lineRule="auto"/>
              <w:jc w:val="left"/>
            </w:pPr>
            <w:r>
              <w:rPr>
                <w:rFonts w:ascii="宋体" w:hAnsi="宋体" w:eastAsia="宋体" w:cs="宋体"/>
                <w:b/>
              </w:rPr>
              <w:t>申购费(前收费)</w:t>
            </w:r>
          </w:p>
        </w:tc>
        <w:tc>
          <w:tcPr>
            <w:tcW w:w="0" w:type="dxa"/>
            <w:vAlign w:val="center"/>
          </w:tcPr>
          <w:p>
            <w:pPr>
              <w:spacing w:line="240" w:lineRule="auto"/>
              <w:jc w:val="left"/>
            </w:pPr>
            <w:r>
              <w:rPr>
                <w:rFonts w:ascii="宋体" w:hAnsi="宋体" w:eastAsia="宋体" w:cs="宋体"/>
                <w:b w:val="0"/>
              </w:rPr>
              <w:t>M&lt;100万元</w:t>
            </w:r>
          </w:p>
        </w:tc>
        <w:tc>
          <w:tcPr>
            <w:tcW w:w="0" w:type="dxa"/>
            <w:vAlign w:val="center"/>
          </w:tcPr>
          <w:p>
            <w:pPr>
              <w:spacing w:line="240" w:lineRule="auto"/>
              <w:jc w:val="left"/>
            </w:pPr>
            <w:r>
              <w:rPr>
                <w:rFonts w:ascii="宋体" w:hAnsi="宋体" w:eastAsia="宋体" w:cs="宋体"/>
                <w:b w:val="0"/>
              </w:rPr>
              <w:t>0.80%</w:t>
            </w:r>
          </w:p>
        </w:tc>
        <w:tc>
          <w:tcPr>
            <w:tcW w:w="0" w:type="dxa"/>
            <w:vAlign w:val="center"/>
          </w:tcPr>
          <w:p>
            <w:pPr>
              <w:spacing w:line="240" w:lineRule="auto"/>
              <w:jc w:val="left"/>
            </w:pPr>
            <w:r>
              <w:rPr>
                <w:rFonts w:ascii="宋体" w:hAnsi="宋体" w:eastAsia="宋体" w:cs="宋体"/>
                <w:b w:val="0"/>
              </w:rPr>
              <w:t>金额（M）含申购费</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100万元≤M&lt;300万元</w:t>
            </w:r>
          </w:p>
        </w:tc>
        <w:tc>
          <w:tcPr>
            <w:tcW w:w="0" w:type="dxa"/>
            <w:vAlign w:val="center"/>
          </w:tcPr>
          <w:p>
            <w:pPr>
              <w:spacing w:line="240" w:lineRule="auto"/>
              <w:jc w:val="left"/>
            </w:pPr>
            <w:r>
              <w:rPr>
                <w:rFonts w:ascii="宋体" w:hAnsi="宋体" w:eastAsia="宋体" w:cs="宋体"/>
                <w:b w:val="0"/>
              </w:rPr>
              <w:t>0.50%</w:t>
            </w:r>
          </w:p>
        </w:tc>
        <w:tc>
          <w:tcPr>
            <w:tcW w:w="0" w:type="dxa"/>
            <w:vAlign w:val="center"/>
          </w:tcPr>
          <w:p>
            <w:pPr>
              <w:spacing w:line="240" w:lineRule="auto"/>
              <w:jc w:val="left"/>
            </w:pPr>
            <w:r>
              <w:rPr>
                <w:rFonts w:ascii="宋体" w:hAnsi="宋体" w:eastAsia="宋体" w:cs="宋体"/>
                <w:b w:val="0"/>
              </w:rPr>
              <w:t>金额（M）含申购费</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300万元≤M&lt;500万元</w:t>
            </w:r>
          </w:p>
        </w:tc>
        <w:tc>
          <w:tcPr>
            <w:tcW w:w="0" w:type="dxa"/>
            <w:vAlign w:val="center"/>
          </w:tcPr>
          <w:p>
            <w:pPr>
              <w:spacing w:line="240" w:lineRule="auto"/>
              <w:jc w:val="left"/>
            </w:pPr>
            <w:r>
              <w:rPr>
                <w:rFonts w:ascii="宋体" w:hAnsi="宋体" w:eastAsia="宋体" w:cs="宋体"/>
                <w:b w:val="0"/>
              </w:rPr>
              <w:t>0.30%</w:t>
            </w:r>
          </w:p>
        </w:tc>
        <w:tc>
          <w:tcPr>
            <w:tcW w:w="0" w:type="dxa"/>
            <w:vAlign w:val="center"/>
          </w:tcPr>
          <w:p>
            <w:pPr>
              <w:spacing w:line="240" w:lineRule="auto"/>
              <w:jc w:val="left"/>
            </w:pPr>
            <w:r>
              <w:rPr>
                <w:rFonts w:ascii="宋体" w:hAnsi="宋体" w:eastAsia="宋体" w:cs="宋体"/>
                <w:b w:val="0"/>
              </w:rPr>
              <w:t>金额（M）含申购费</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M≥500万元</w:t>
            </w:r>
          </w:p>
        </w:tc>
        <w:tc>
          <w:tcPr>
            <w:tcW w:w="0" w:type="dxa"/>
            <w:vAlign w:val="center"/>
          </w:tcPr>
          <w:p>
            <w:pPr>
              <w:spacing w:line="240" w:lineRule="auto"/>
              <w:jc w:val="left"/>
            </w:pPr>
            <w:r>
              <w:rPr>
                <w:rFonts w:ascii="宋体" w:hAnsi="宋体" w:eastAsia="宋体" w:cs="宋体"/>
                <w:b w:val="0"/>
              </w:rPr>
              <w:t>1000.00元/笔</w:t>
            </w:r>
          </w:p>
        </w:tc>
        <w:tc>
          <w:tcPr>
            <w:tcW w:w="0" w:type="dxa"/>
            <w:vAlign w:val="center"/>
          </w:tcPr>
          <w:p>
            <w:pPr>
              <w:spacing w:line="240" w:lineRule="auto"/>
              <w:jc w:val="left"/>
            </w:pPr>
            <w:r>
              <w:rPr>
                <w:rFonts w:ascii="宋体" w:hAnsi="宋体" w:eastAsia="宋体" w:cs="宋体"/>
                <w:b w:val="0"/>
              </w:rPr>
              <w:t>金额（M）含申购费</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Merge w:val="restart"/>
            <w:vAlign w:val="center"/>
          </w:tcPr>
          <w:p>
            <w:pPr>
              <w:spacing w:line="240" w:lineRule="auto"/>
              <w:jc w:val="left"/>
            </w:pPr>
            <w:r>
              <w:rPr>
                <w:rFonts w:ascii="宋体" w:hAnsi="宋体" w:eastAsia="宋体" w:cs="宋体"/>
                <w:b/>
              </w:rPr>
              <w:t>赎回费</w:t>
            </w:r>
          </w:p>
        </w:tc>
        <w:tc>
          <w:tcPr>
            <w:tcW w:w="0" w:type="dxa"/>
            <w:vAlign w:val="center"/>
          </w:tcPr>
          <w:p>
            <w:pPr>
              <w:spacing w:line="240" w:lineRule="auto"/>
              <w:jc w:val="left"/>
            </w:pPr>
            <w:r>
              <w:rPr>
                <w:rFonts w:ascii="宋体" w:hAnsi="宋体" w:eastAsia="宋体" w:cs="宋体"/>
                <w:b w:val="0"/>
              </w:rPr>
              <w:t>N&lt;7天</w:t>
            </w:r>
          </w:p>
        </w:tc>
        <w:tc>
          <w:tcPr>
            <w:tcW w:w="0" w:type="dxa"/>
            <w:vAlign w:val="center"/>
          </w:tcPr>
          <w:p>
            <w:pPr>
              <w:spacing w:line="240" w:lineRule="auto"/>
              <w:jc w:val="left"/>
            </w:pPr>
            <w:r>
              <w:rPr>
                <w:rFonts w:ascii="宋体" w:hAnsi="宋体" w:eastAsia="宋体" w:cs="宋体"/>
                <w:b w:val="0"/>
              </w:rPr>
              <w:t>1.50%</w:t>
            </w:r>
          </w:p>
        </w:tc>
        <w:tc>
          <w:tcPr>
            <w:tcW w:w="0" w:type="dxa"/>
            <w:vAlign w:val="center"/>
          </w:tcPr>
          <w:p>
            <w:pPr>
              <w:spacing w:line="240" w:lineRule="auto"/>
              <w:jc w:val="left"/>
            </w:pPr>
            <w:r>
              <w:rPr>
                <w:rFonts w:ascii="宋体" w:hAnsi="宋体" w:eastAsia="宋体" w:cs="宋体"/>
                <w:b w:val="0"/>
              </w:rPr>
              <w:t>全额计入基金财产</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7天≤N&lt;30天</w:t>
            </w:r>
          </w:p>
        </w:tc>
        <w:tc>
          <w:tcPr>
            <w:tcW w:w="0" w:type="dxa"/>
            <w:vAlign w:val="center"/>
          </w:tcPr>
          <w:p>
            <w:pPr>
              <w:spacing w:line="240" w:lineRule="auto"/>
              <w:jc w:val="left"/>
            </w:pPr>
            <w:r>
              <w:rPr>
                <w:rFonts w:ascii="宋体" w:hAnsi="宋体" w:eastAsia="宋体" w:cs="宋体"/>
                <w:b w:val="0"/>
              </w:rPr>
              <w:t>0.10%</w:t>
            </w:r>
          </w:p>
        </w:tc>
        <w:tc>
          <w:tcPr>
            <w:tcW w:w="0" w:type="dxa"/>
            <w:vAlign w:val="center"/>
          </w:tcPr>
          <w:p>
            <w:pPr>
              <w:spacing w:line="240" w:lineRule="auto"/>
              <w:jc w:val="left"/>
            </w:pPr>
            <w:r>
              <w:rPr>
                <w:rFonts w:ascii="宋体" w:hAnsi="宋体" w:eastAsia="宋体" w:cs="宋体"/>
                <w:b w:val="0"/>
              </w:rPr>
              <w:t>全额计入基金财产</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N≥30天</w:t>
            </w:r>
          </w:p>
        </w:tc>
        <w:tc>
          <w:tcPr>
            <w:tcW w:w="0" w:type="dxa"/>
            <w:vAlign w:val="center"/>
          </w:tcPr>
          <w:p>
            <w:pPr>
              <w:spacing w:line="240" w:lineRule="auto"/>
              <w:jc w:val="left"/>
            </w:pPr>
            <w:r>
              <w:rPr>
                <w:rFonts w:ascii="宋体" w:hAnsi="宋体" w:eastAsia="宋体" w:cs="宋体"/>
                <w:b w:val="0"/>
              </w:rPr>
              <w:t>0%</w:t>
            </w:r>
          </w:p>
        </w:tc>
        <w:tc>
          <w:tcPr>
            <w:tcW w:w="0" w:type="dxa"/>
            <w:vAlign w:val="center"/>
          </w:tcPr>
          <w:p>
            <w:pPr>
              <w:spacing w:line="240" w:lineRule="auto"/>
              <w:jc w:val="left"/>
            </w:pPr>
            <w:r>
              <w:rPr>
                <w:rFonts w:ascii="宋体" w:hAnsi="宋体" w:eastAsia="宋体" w:cs="宋体"/>
                <w:b w:val="0"/>
              </w:rPr>
              <w:t>-</w:t>
            </w:r>
          </w:p>
        </w:tc>
      </w:tr>
    </w:tbl>
    <w:p/>
    <w:p>
      <w:r>
        <w:rPr>
          <w:rFonts w:ascii="宋体" w:hAnsi="宋体" w:eastAsia="宋体" w:cs="宋体"/>
          <w:b/>
        </w:rPr>
        <w:t>（二）基金运作相关费用</w:t>
      </w:r>
    </w:p>
    <w:p>
      <w:r>
        <w:rPr>
          <w:rFonts w:ascii="宋体" w:hAnsi="宋体" w:eastAsia="宋体" w:cs="宋体"/>
          <w:b w:val="0"/>
        </w:rPr>
        <w:t>以下费用将从基金资产中扣除：</w:t>
      </w:r>
    </w:p>
    <w:tbl>
      <w:tblPr>
        <w:tblStyle w:val="27"/>
        <w:tblW w:w="5000" w:type="pct"/>
        <w:tblInd w:w="0" w:type="dxa"/>
        <w:tblBorders>
          <w:top w:val="single" w:color="auto" w:sz="4" w:space="0"/>
          <w:left w:val="none" w:color="auto" w:sz="4" w:space="0"/>
          <w:bottom w:val="single" w:color="auto" w:sz="4" w:space="0"/>
          <w:right w:val="none" w:color="auto" w:sz="4" w:space="0"/>
          <w:insideH w:val="dotted" w:color="auto" w:sz="4" w:space="0"/>
          <w:insideV w:val="none" w:color="auto" w:sz="4" w:space="0"/>
        </w:tblBorders>
        <w:tblLayout w:type="autofit"/>
        <w:tblCellMar>
          <w:top w:w="0" w:type="dxa"/>
          <w:left w:w="108" w:type="dxa"/>
          <w:bottom w:w="0" w:type="dxa"/>
          <w:right w:w="108" w:type="dxa"/>
        </w:tblCellMar>
      </w:tblPr>
      <w:tblGrid>
        <w:gridCol w:w="2143"/>
        <w:gridCol w:w="4286"/>
        <w:gridCol w:w="2857"/>
      </w:tblGrid>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费用类别</w:t>
            </w:r>
          </w:p>
        </w:tc>
        <w:tc>
          <w:tcPr>
            <w:tcW w:w="2308" w:type="pct"/>
            <w:vAlign w:val="center"/>
          </w:tcPr>
          <w:p>
            <w:pPr>
              <w:spacing w:line="240" w:lineRule="auto"/>
              <w:jc w:val="left"/>
            </w:pPr>
            <w:r>
              <w:rPr>
                <w:rFonts w:ascii="宋体" w:hAnsi="宋体" w:eastAsia="宋体" w:cs="宋体"/>
                <w:b/>
              </w:rPr>
              <w:t>收费方式/年费率或金额</w:t>
            </w:r>
          </w:p>
        </w:tc>
        <w:tc>
          <w:tcPr>
            <w:tcW w:w="1538" w:type="pct"/>
            <w:vAlign w:val="center"/>
          </w:tcPr>
          <w:p>
            <w:pPr>
              <w:spacing w:line="240" w:lineRule="auto"/>
              <w:jc w:val="left"/>
            </w:pPr>
            <w:r>
              <w:rPr>
                <w:rFonts w:ascii="宋体" w:hAnsi="宋体" w:eastAsia="宋体" w:cs="宋体"/>
                <w:b/>
              </w:rPr>
              <w:t>收取方</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管理费</w:t>
            </w:r>
          </w:p>
        </w:tc>
        <w:tc>
          <w:tcPr>
            <w:tcW w:w="0" w:type="dxa"/>
            <w:vAlign w:val="center"/>
          </w:tcPr>
          <w:p>
            <w:pPr>
              <w:spacing w:line="240" w:lineRule="auto"/>
              <w:jc w:val="left"/>
            </w:pPr>
            <w:r>
              <w:rPr>
                <w:rFonts w:ascii="宋体" w:hAnsi="宋体" w:eastAsia="宋体" w:cs="宋体"/>
                <w:b w:val="0"/>
              </w:rPr>
              <w:t>0.30%</w:t>
            </w:r>
          </w:p>
        </w:tc>
        <w:tc>
          <w:tcPr>
            <w:tcW w:w="0" w:type="dxa"/>
            <w:vAlign w:val="center"/>
          </w:tcPr>
          <w:p>
            <w:pPr>
              <w:spacing w:line="240" w:lineRule="auto"/>
              <w:jc w:val="left"/>
            </w:pPr>
            <w:r>
              <w:rPr>
                <w:rFonts w:ascii="宋体" w:hAnsi="宋体" w:eastAsia="宋体" w:cs="宋体"/>
                <w:b w:val="0"/>
              </w:rPr>
              <w:t>基金管理人和销售机构</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托管费</w:t>
            </w:r>
          </w:p>
        </w:tc>
        <w:tc>
          <w:tcPr>
            <w:tcW w:w="0" w:type="dxa"/>
            <w:vAlign w:val="center"/>
          </w:tcPr>
          <w:p>
            <w:pPr>
              <w:spacing w:line="240" w:lineRule="auto"/>
              <w:jc w:val="left"/>
            </w:pPr>
            <w:r>
              <w:rPr>
                <w:rFonts w:ascii="宋体" w:hAnsi="宋体" w:eastAsia="宋体" w:cs="宋体"/>
                <w:b w:val="0"/>
              </w:rPr>
              <w:t>0.10%</w:t>
            </w:r>
          </w:p>
        </w:tc>
        <w:tc>
          <w:tcPr>
            <w:tcW w:w="0" w:type="dxa"/>
            <w:vAlign w:val="center"/>
          </w:tcPr>
          <w:p>
            <w:pPr>
              <w:spacing w:line="240" w:lineRule="auto"/>
              <w:jc w:val="left"/>
            </w:pPr>
            <w:r>
              <w:rPr>
                <w:rFonts w:ascii="宋体" w:hAnsi="宋体" w:eastAsia="宋体" w:cs="宋体"/>
                <w:b w:val="0"/>
              </w:rPr>
              <w:t>基金托管人</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审计费用</w:t>
            </w:r>
          </w:p>
        </w:tc>
        <w:tc>
          <w:tcPr>
            <w:tcW w:w="0" w:type="dxa"/>
            <w:vAlign w:val="center"/>
          </w:tcPr>
          <w:p>
            <w:pPr>
              <w:spacing w:line="240" w:lineRule="auto"/>
              <w:jc w:val="left"/>
            </w:pPr>
            <w:r>
              <w:rPr>
                <w:rFonts w:ascii="宋体" w:hAnsi="宋体" w:eastAsia="宋体" w:cs="宋体"/>
                <w:b w:val="0"/>
              </w:rPr>
              <w:t>20,000.00</w:t>
            </w:r>
          </w:p>
        </w:tc>
        <w:tc>
          <w:tcPr>
            <w:tcW w:w="0" w:type="dxa"/>
            <w:vAlign w:val="center"/>
          </w:tcPr>
          <w:p>
            <w:pPr>
              <w:spacing w:line="240" w:lineRule="auto"/>
              <w:jc w:val="left"/>
            </w:pPr>
            <w:r>
              <w:rPr>
                <w:rFonts w:ascii="宋体" w:hAnsi="宋体" w:eastAsia="宋体" w:cs="宋体"/>
                <w:b w:val="0"/>
              </w:rPr>
              <w:t>会计师事务所</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信息披露费</w:t>
            </w:r>
          </w:p>
        </w:tc>
        <w:tc>
          <w:tcPr>
            <w:tcW w:w="0" w:type="dxa"/>
            <w:vAlign w:val="center"/>
          </w:tcPr>
          <w:p>
            <w:pPr>
              <w:spacing w:line="240" w:lineRule="auto"/>
              <w:jc w:val="left"/>
            </w:pPr>
            <w:r>
              <w:rPr>
                <w:rFonts w:ascii="宋体" w:hAnsi="宋体" w:eastAsia="宋体" w:cs="宋体"/>
                <w:b w:val="0"/>
              </w:rPr>
              <w:t>120,000.00</w:t>
            </w:r>
          </w:p>
        </w:tc>
        <w:tc>
          <w:tcPr>
            <w:tcW w:w="0" w:type="dxa"/>
            <w:vAlign w:val="center"/>
          </w:tcPr>
          <w:p>
            <w:pPr>
              <w:spacing w:line="240" w:lineRule="auto"/>
              <w:jc w:val="left"/>
            </w:pPr>
            <w:r>
              <w:rPr>
                <w:rFonts w:ascii="宋体" w:hAnsi="宋体" w:eastAsia="宋体" w:cs="宋体"/>
                <w:b w:val="0"/>
              </w:rPr>
              <w:t>规定披露报刊</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其他费用</w:t>
            </w:r>
          </w:p>
        </w:tc>
        <w:tc>
          <w:tcPr>
            <w:tcW w:w="0" w:type="dxa"/>
            <w:vAlign w:val="center"/>
          </w:tcPr>
          <w:p>
            <w:pPr>
              <w:spacing w:line="240" w:lineRule="auto"/>
              <w:jc w:val="left"/>
            </w:pPr>
            <w:r>
              <w:rPr>
                <w:rFonts w:ascii="宋体" w:hAnsi="宋体" w:eastAsia="宋体" w:cs="宋体"/>
                <w:b w:val="0"/>
              </w:rPr>
              <w:t>1、《基金合同》生效后与基金相关的会计师费、律师费、诉讼费和仲裁费；2、基金份额持有人大会费用；3、基金的证券/期货交易费用；4、基金的银行汇划费用；5、证券账户开户费用、银行账户维护费用；6、按照国家有关规定和《基金合同》约定，可以在基金财产中列支的其他费用。</w:t>
            </w:r>
          </w:p>
        </w:tc>
        <w:tc>
          <w:tcPr>
            <w:tcW w:w="0" w:type="dxa"/>
            <w:vAlign w:val="center"/>
          </w:tcPr>
          <w:p>
            <w:pPr>
              <w:spacing w:line="240" w:lineRule="auto"/>
              <w:jc w:val="left"/>
            </w:pPr>
            <w:r>
              <w:rPr>
                <w:rFonts w:ascii="宋体" w:hAnsi="宋体" w:eastAsia="宋体" w:cs="宋体"/>
                <w:b w:val="0"/>
              </w:rPr>
              <w:t>相关服务机构</w:t>
            </w:r>
          </w:p>
        </w:tc>
      </w:tr>
    </w:tbl>
    <w:p>
      <w:r>
        <w:rPr>
          <w:rFonts w:ascii="宋体" w:hAnsi="宋体" w:eastAsia="宋体" w:cs="宋体"/>
          <w:b w:val="0"/>
        </w:rPr>
        <w:t>注：本基金交易证券、基金等产生的费用和税负，按实际发生额从基金资产扣除。审计费用、信息披露费和指数许可使用费（若有）为基金整体承担费用，非单个份额类别费用，且年金额为预估值，最终实际金额以基金定期报告披露为准。</w:t>
      </w:r>
    </w:p>
    <w:p/>
    <w:p>
      <w:r>
        <w:rPr>
          <w:rFonts w:ascii="宋体" w:hAnsi="宋体" w:eastAsia="宋体" w:cs="宋体"/>
          <w:b/>
        </w:rPr>
        <w:t>（三）基金运作综合费用测算</w:t>
      </w:r>
    </w:p>
    <w:p>
      <w:r>
        <w:rPr>
          <w:rFonts w:ascii="宋体" w:hAnsi="宋体" w:eastAsia="宋体" w:cs="宋体"/>
          <w:b w:val="0"/>
        </w:rPr>
        <w:t>若投资者认购/申购本基金份额，在持有期间，投资者需支出的运作费率如下表：</w:t>
      </w:r>
    </w:p>
    <w:tbl>
      <w:tblPr>
        <w:tblStyle w:val="27"/>
        <w:tblW w:w="5000" w:type="pct"/>
        <w:tblInd w:w="0" w:type="dxa"/>
        <w:tblBorders>
          <w:top w:val="single" w:color="auto" w:sz="4" w:space="0"/>
          <w:left w:val="none" w:color="auto" w:sz="4" w:space="0"/>
          <w:bottom w:val="single" w:color="auto" w:sz="4" w:space="0"/>
          <w:right w:val="none" w:color="auto" w:sz="4" w:space="0"/>
          <w:insideH w:val="dotted" w:color="auto" w:sz="4" w:space="0"/>
          <w:insideV w:val="none" w:color="auto" w:sz="4" w:space="0"/>
        </w:tblBorders>
        <w:tblLayout w:type="autofit"/>
        <w:tblCellMar>
          <w:top w:w="0" w:type="dxa"/>
          <w:left w:w="108" w:type="dxa"/>
          <w:bottom w:w="0" w:type="dxa"/>
          <w:right w:w="108" w:type="dxa"/>
        </w:tblCellMar>
      </w:tblPr>
      <w:tblGrid>
        <w:gridCol w:w="9286"/>
      </w:tblGrid>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5000" w:type="pct"/>
            <w:vAlign w:val="center"/>
          </w:tcPr>
          <w:p>
            <w:pPr>
              <w:spacing w:line="240" w:lineRule="auto"/>
              <w:jc w:val="center"/>
            </w:pPr>
            <w:r>
              <w:rPr>
                <w:rFonts w:ascii="宋体" w:hAnsi="宋体" w:eastAsia="宋体" w:cs="宋体"/>
                <w:b/>
              </w:rPr>
              <w:t>基金运作综合费率（年化）</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5000" w:type="pct"/>
            <w:vAlign w:val="center"/>
          </w:tcPr>
          <w:p>
            <w:pPr>
              <w:spacing w:line="240" w:lineRule="auto"/>
              <w:jc w:val="center"/>
            </w:pPr>
            <w:r>
              <w:rPr>
                <w:rFonts w:ascii="宋体" w:hAnsi="宋体" w:eastAsia="宋体" w:cs="宋体"/>
                <w:b w:val="0"/>
              </w:rPr>
              <w:t>0.56%</w:t>
            </w:r>
          </w:p>
        </w:tc>
      </w:tr>
    </w:tbl>
    <w:p>
      <w:r>
        <w:rPr>
          <w:rFonts w:ascii="宋体" w:hAnsi="宋体" w:eastAsia="宋体" w:cs="宋体"/>
          <w:b w:val="0"/>
        </w:rPr>
        <w:t>注：基金管理费率、托管费率、销售服务费率（若有）为基金现行费率，其他运作费用以最近一次基金年报披露的相关数据为基准测算。</w:t>
      </w:r>
    </w:p>
    <w:p/>
    <w:p>
      <w:pPr>
        <w:pStyle w:val="3"/>
        <w:jc w:val="left"/>
      </w:pPr>
      <w:r>
        <w:rPr>
          <w:rFonts w:ascii="宋体" w:hAnsi="宋体" w:eastAsia="宋体" w:cs="宋体"/>
        </w:rPr>
        <w:t>四、风险揭示与重要提示</w:t>
      </w:r>
    </w:p>
    <w:p>
      <w:r>
        <w:rPr>
          <w:rFonts w:ascii="宋体" w:hAnsi="宋体" w:eastAsia="宋体" w:cs="宋体"/>
          <w:b/>
        </w:rPr>
        <w:t>（一）风险揭示</w:t>
      </w:r>
    </w:p>
    <w:p>
      <w:pPr>
        <w:jc w:val="left"/>
      </w:pPr>
      <w:r>
        <w:rPr>
          <w:rFonts w:ascii="宋体" w:hAnsi="宋体" w:eastAsia="宋体" w:cs="宋体"/>
          <w:b w:val="0"/>
        </w:rPr>
        <w:t xml:space="preserve">    本基金不提供任何保证。投资者可能损失本金。</w:t>
      </w:r>
      <w:r>
        <w:rPr>
          <w:rFonts w:ascii="宋体" w:hAnsi="宋体" w:eastAsia="宋体" w:cs="宋体"/>
          <w:b w:val="0"/>
        </w:rPr>
        <w:cr/>
      </w:r>
      <w:r>
        <w:rPr>
          <w:rFonts w:ascii="宋体" w:hAnsi="宋体" w:eastAsia="宋体" w:cs="宋体"/>
          <w:b w:val="0"/>
        </w:rPr>
        <w:t xml:space="preserve">    投资有风险，投资者购买基金时应认真阅读本基金的《招募说明书》等销售文件。</w:t>
      </w:r>
      <w:r>
        <w:rPr>
          <w:rFonts w:ascii="宋体" w:hAnsi="宋体" w:eastAsia="宋体" w:cs="宋体"/>
          <w:b w:val="0"/>
        </w:rPr>
        <w:cr/>
      </w:r>
      <w:r>
        <w:rPr>
          <w:rFonts w:ascii="宋体" w:hAnsi="宋体" w:eastAsia="宋体" w:cs="宋体"/>
          <w:b w:val="0"/>
        </w:rPr>
        <w:t xml:space="preserve">    本基金投资运作过程中面临的主要风险有：1、市场风险；2、基金的流动性风险；3、管理风险；4、税收风险。</w:t>
      </w:r>
      <w:r>
        <w:rPr>
          <w:rFonts w:ascii="宋体" w:hAnsi="宋体" w:eastAsia="宋体" w:cs="宋体"/>
          <w:b w:val="0"/>
        </w:rPr>
        <w:cr/>
      </w:r>
      <w:r>
        <w:rPr>
          <w:rFonts w:ascii="宋体" w:hAnsi="宋体" w:eastAsia="宋体" w:cs="宋体"/>
          <w:b w:val="0"/>
        </w:rPr>
        <w:t xml:space="preserve">    本基金的特有风险包括：</w:t>
      </w:r>
      <w:r>
        <w:rPr>
          <w:rFonts w:ascii="宋体" w:hAnsi="宋体" w:eastAsia="宋体" w:cs="宋体"/>
          <w:b w:val="0"/>
        </w:rPr>
        <w:cr/>
      </w:r>
      <w:r>
        <w:rPr>
          <w:rFonts w:ascii="宋体" w:hAnsi="宋体" w:eastAsia="宋体" w:cs="宋体"/>
          <w:b w:val="0"/>
        </w:rPr>
        <w:t xml:space="preserve">    1、本基金为债券型证券投资基金，除开放期前10个工作日、开放期及开放期结束后10个工作日以外，本基金对债券的投资比例不低于基金资产的80%。本基金无法完全规避发债主体的信用质量变化造成的信用风险。同时，本基金需要承担由于市场利率波动造成的利率风险。本基金管理人将发挥专业研究优势，加强对市场和债券类产品的深入研究，持续优化组合配置，以控制特定风险。</w:t>
      </w:r>
      <w:r>
        <w:rPr>
          <w:rFonts w:ascii="宋体" w:hAnsi="宋体" w:eastAsia="宋体" w:cs="宋体"/>
          <w:b w:val="0"/>
        </w:rPr>
        <w:cr/>
      </w:r>
      <w:r>
        <w:rPr>
          <w:rFonts w:ascii="宋体" w:hAnsi="宋体" w:eastAsia="宋体" w:cs="宋体"/>
          <w:b w:val="0"/>
        </w:rPr>
        <w:t xml:space="preserve">    2、本基金以定期开放的方式进行运作，封闭期长度为3个月，封闭期间不办理申购与赎回业务；在某个封闭期结束和下一封闭期开始之间设置开放期，受理本基金的申购、赎回等申请，开放期的时长不少于1个工作日，不超过20个工作日。因此，在封闭期期内，基金份额持有人将面临不能赎回基金份额而出现的流动性约束。</w:t>
      </w:r>
      <w:r>
        <w:rPr>
          <w:rFonts w:ascii="宋体" w:hAnsi="宋体" w:eastAsia="宋体" w:cs="宋体"/>
          <w:b w:val="0"/>
        </w:rPr>
        <w:cr/>
      </w:r>
      <w:r>
        <w:rPr>
          <w:rFonts w:ascii="宋体" w:hAnsi="宋体" w:eastAsia="宋体" w:cs="宋体"/>
          <w:b w:val="0"/>
        </w:rPr>
        <w:t xml:space="preserve">    3、若本基金在开放期发生了巨额赎回，基金管理人有可能采取延缓支付赎回款项的措施以应对巨额赎回，因此在巨额赎回情形发生时，基金份额持有人存在不能及时收到赎回款项的风险。</w:t>
      </w:r>
      <w:r>
        <w:rPr>
          <w:rFonts w:ascii="宋体" w:hAnsi="宋体" w:eastAsia="宋体" w:cs="宋体"/>
          <w:b w:val="0"/>
        </w:rPr>
        <w:cr/>
      </w:r>
      <w:r>
        <w:rPr>
          <w:rFonts w:ascii="宋体" w:hAnsi="宋体" w:eastAsia="宋体" w:cs="宋体"/>
          <w:b w:val="0"/>
        </w:rPr>
        <w:t xml:space="preserve">    4、基金无法继续存续的风险</w:t>
      </w:r>
      <w:r>
        <w:rPr>
          <w:rFonts w:ascii="宋体" w:hAnsi="宋体" w:eastAsia="宋体" w:cs="宋体"/>
          <w:b w:val="0"/>
        </w:rPr>
        <w:cr/>
      </w:r>
      <w:r>
        <w:rPr>
          <w:rFonts w:ascii="宋体" w:hAnsi="宋体" w:eastAsia="宋体" w:cs="宋体"/>
          <w:b w:val="0"/>
        </w:rPr>
        <w:t xml:space="preserve">    《基金合同》生效后，连续20个工作日出现基金份额持有人数量不满200人或者基金资产净值低于5000万元情形的，基金管理人应当在定期报告中予以披露；</w:t>
      </w:r>
      <w:r>
        <w:rPr>
          <w:rFonts w:ascii="宋体" w:hAnsi="宋体" w:eastAsia="宋体" w:cs="宋体"/>
          <w:b w:val="0"/>
        </w:rPr>
        <w:cr/>
      </w:r>
      <w:r>
        <w:rPr>
          <w:rFonts w:ascii="宋体" w:hAnsi="宋体" w:eastAsia="宋体" w:cs="宋体"/>
          <w:b w:val="0"/>
        </w:rPr>
        <w:t xml:space="preserve">    《基金合同》生效后的存续期内，发生以下任何一种情形时，将进行基金财产清算并终止基金合同，且无需召开基金份额持有人大会，同时基金管理人应履行相关的监管报告和信息披露程序：</w:t>
      </w:r>
      <w:r>
        <w:rPr>
          <w:rFonts w:ascii="宋体" w:hAnsi="宋体" w:eastAsia="宋体" w:cs="宋体"/>
          <w:b w:val="0"/>
        </w:rPr>
        <w:cr/>
      </w:r>
      <w:r>
        <w:rPr>
          <w:rFonts w:ascii="宋体" w:hAnsi="宋体" w:eastAsia="宋体" w:cs="宋体"/>
          <w:b w:val="0"/>
        </w:rPr>
        <w:t xml:space="preserve">    （1）某个开放期届满后，本基金的基金份额持有人数量不满200人的；</w:t>
      </w:r>
      <w:r>
        <w:rPr>
          <w:rFonts w:ascii="宋体" w:hAnsi="宋体" w:eastAsia="宋体" w:cs="宋体"/>
          <w:b w:val="0"/>
        </w:rPr>
        <w:cr/>
      </w:r>
      <w:r>
        <w:rPr>
          <w:rFonts w:ascii="宋体" w:hAnsi="宋体" w:eastAsia="宋体" w:cs="宋体"/>
          <w:b w:val="0"/>
        </w:rPr>
        <w:t xml:space="preserve">    （2）某个开放期届满后，本基金的基金资产净值低于5000万元的。故存在着基金无法继续存续的风险。</w:t>
      </w:r>
      <w:r>
        <w:rPr>
          <w:rFonts w:ascii="宋体" w:hAnsi="宋体" w:eastAsia="宋体" w:cs="宋体"/>
          <w:b w:val="0"/>
        </w:rPr>
        <w:cr/>
      </w:r>
      <w:r>
        <w:rPr>
          <w:rFonts w:ascii="宋体" w:hAnsi="宋体" w:eastAsia="宋体" w:cs="宋体"/>
          <w:b w:val="0"/>
        </w:rPr>
        <w:t xml:space="preserve">    本基金的“一般风险”、“其他风险”等风险揭示详见《国新国证鑫泰三个月定期开放债券型证券投资基金招募说明书》第十九部分“风险揭示”。</w:t>
      </w:r>
    </w:p>
    <w:p/>
    <w:p>
      <w:r>
        <w:rPr>
          <w:rFonts w:ascii="宋体" w:hAnsi="宋体" w:eastAsia="宋体" w:cs="宋体"/>
          <w:b/>
        </w:rPr>
        <w:t>（二）重要提示</w:t>
      </w:r>
    </w:p>
    <w:p>
      <w:pPr>
        <w:jc w:val="left"/>
      </w:pPr>
      <w:r>
        <w:rPr>
          <w:rFonts w:ascii="宋体" w:hAnsi="宋体" w:eastAsia="宋体" w:cs="宋体"/>
          <w:b w:val="0"/>
        </w:rPr>
        <w:t xml:space="preserve">    国新国证鑫泰三个月定期开放债券型证券投资基金（以下简称“本基金”）经中国证券监督管理委员会（以下简称“中国证监会”）2023年2月23日《关于国新国证鑫泰三个月定期开放债券型证券投资基金注册的批复》（证监许可[2023]386号）准予募集注册。中国证监会对本基金募集的注册，并不表明其对本基金的价值和收益作出实质性判断或保证，也不表明投资于本基金没有风险。</w:t>
      </w:r>
      <w:r>
        <w:rPr>
          <w:rFonts w:ascii="宋体" w:hAnsi="宋体" w:eastAsia="宋体" w:cs="宋体"/>
          <w:b w:val="0"/>
        </w:rPr>
        <w:cr/>
      </w:r>
      <w:r>
        <w:rPr>
          <w:rFonts w:ascii="宋体" w:hAnsi="宋体" w:eastAsia="宋体" w:cs="宋体"/>
          <w:b w:val="0"/>
        </w:rPr>
        <w:t xml:space="preserve">    基金的过往业绩并不预示其未来表现，基金管理人管理的其他基金的业绩也不构成对本基金业绩表现的保证。</w:t>
      </w:r>
      <w:r>
        <w:rPr>
          <w:rFonts w:ascii="宋体" w:hAnsi="宋体" w:eastAsia="宋体" w:cs="宋体"/>
          <w:b w:val="0"/>
        </w:rPr>
        <w:cr/>
      </w:r>
      <w:r>
        <w:rPr>
          <w:rFonts w:ascii="宋体" w:hAnsi="宋体" w:eastAsia="宋体" w:cs="宋体"/>
          <w:b w:val="0"/>
        </w:rPr>
        <w:t xml:space="preserve">    基金管理人承诺依照恪尽职守、诚实信用、谨慎勤勉的原则管理和运用基金资产，但不保证本基金一定盈利，也不保证最低收益。</w:t>
      </w:r>
      <w:r>
        <w:rPr>
          <w:rFonts w:ascii="宋体" w:hAnsi="宋体" w:eastAsia="宋体" w:cs="宋体"/>
          <w:b w:val="0"/>
        </w:rPr>
        <w:cr/>
      </w:r>
      <w:r>
        <w:rPr>
          <w:rFonts w:ascii="宋体" w:hAnsi="宋体" w:eastAsia="宋体" w:cs="宋体"/>
          <w:b w:val="0"/>
        </w:rPr>
        <w:t xml:space="preserve">    基金投资者自依基金合同取得基金份额，即成为基金份额持有人和基金合同的当事人。</w:t>
      </w:r>
      <w:r>
        <w:rPr>
          <w:rFonts w:ascii="宋体" w:hAnsi="宋体" w:eastAsia="宋体" w:cs="宋体"/>
          <w:b w:val="0"/>
        </w:rPr>
        <w:cr/>
      </w:r>
      <w:r>
        <w:rPr>
          <w:rFonts w:ascii="宋体" w:hAnsi="宋体" w:eastAsia="宋体" w:cs="宋体"/>
          <w:b w:val="0"/>
        </w:rPr>
        <w:t xml:space="preserve">    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r>
        <w:rPr>
          <w:rFonts w:ascii="宋体" w:hAnsi="宋体" w:eastAsia="宋体" w:cs="宋体"/>
          <w:b w:val="0"/>
        </w:rPr>
        <w:cr/>
      </w:r>
      <w:r>
        <w:rPr>
          <w:rFonts w:ascii="宋体" w:hAnsi="宋体" w:eastAsia="宋体" w:cs="宋体"/>
          <w:b w:val="0"/>
        </w:rPr>
        <w:t xml:space="preserve">    各方当事人同意，因《基金合同》而产生的或与《基金合同》有关的一切争议，如经友好协商未能解决的，应提交上海国际经济贸易仲裁委员会根据该会当时有效的仲裁规则进行仲裁，仲裁地点为上海市。仲裁裁决是终局性的并对各方当事人具有约束力。仲裁费用由败诉方承担，仲裁裁决另有规定除外。</w:t>
      </w:r>
    </w:p>
    <w:p/>
    <w:p>
      <w:pPr>
        <w:pStyle w:val="3"/>
        <w:jc w:val="left"/>
      </w:pPr>
      <w:r>
        <w:rPr>
          <w:rFonts w:ascii="宋体" w:hAnsi="宋体" w:eastAsia="宋体" w:cs="宋体"/>
        </w:rPr>
        <w:t>五、其他资料查询方式</w:t>
      </w:r>
    </w:p>
    <w:p>
      <w:pPr>
        <w:jc w:val="left"/>
      </w:pPr>
      <w:r>
        <w:rPr>
          <w:rFonts w:ascii="宋体" w:hAnsi="宋体" w:eastAsia="宋体" w:cs="宋体"/>
          <w:b w:val="0"/>
        </w:rPr>
        <w:t xml:space="preserve">    以下资料详见国新国证基金官方网站［www.crsfund.com.cn］［客服电话：400-819-0789］</w:t>
      </w:r>
      <w:r>
        <w:rPr>
          <w:rFonts w:ascii="宋体" w:hAnsi="宋体" w:eastAsia="宋体" w:cs="宋体"/>
          <w:b w:val="0"/>
        </w:rPr>
        <w:cr/>
      </w:r>
      <w:r>
        <w:rPr>
          <w:rFonts w:ascii="宋体" w:hAnsi="宋体" w:eastAsia="宋体" w:cs="宋体"/>
          <w:b w:val="0"/>
        </w:rPr>
        <w:t xml:space="preserve">    1、《国新国证鑫泰三个月定期开放债券型证券投资基金基金合同》</w:t>
      </w:r>
      <w:r>
        <w:rPr>
          <w:rFonts w:ascii="宋体" w:hAnsi="宋体" w:eastAsia="宋体" w:cs="宋体"/>
          <w:b w:val="0"/>
        </w:rPr>
        <w:cr/>
      </w:r>
      <w:r>
        <w:rPr>
          <w:rFonts w:ascii="宋体" w:hAnsi="宋体" w:eastAsia="宋体" w:cs="宋体"/>
          <w:b w:val="0"/>
        </w:rPr>
        <w:t xml:space="preserve">    2、《国新国证鑫泰三个月定期开放债券型证券投资基金托管协议》</w:t>
      </w:r>
      <w:r>
        <w:rPr>
          <w:rFonts w:ascii="宋体" w:hAnsi="宋体" w:eastAsia="宋体" w:cs="宋体"/>
          <w:b w:val="0"/>
        </w:rPr>
        <w:cr/>
      </w:r>
      <w:r>
        <w:rPr>
          <w:rFonts w:ascii="宋体" w:hAnsi="宋体" w:eastAsia="宋体" w:cs="宋体"/>
          <w:b w:val="0"/>
        </w:rPr>
        <w:t xml:space="preserve">    3、《国新国证鑫泰三个月定期开放债券型证券投资基金招募说明书》</w:t>
      </w:r>
      <w:r>
        <w:rPr>
          <w:rFonts w:ascii="宋体" w:hAnsi="宋体" w:eastAsia="宋体" w:cs="宋体"/>
          <w:b w:val="0"/>
        </w:rPr>
        <w:cr/>
      </w:r>
      <w:r>
        <w:rPr>
          <w:rFonts w:ascii="宋体" w:hAnsi="宋体" w:eastAsia="宋体" w:cs="宋体"/>
          <w:b w:val="0"/>
        </w:rPr>
        <w:t xml:space="preserve">    4、定期报告，包括基金季度报告、中期报告和年度报告</w:t>
      </w:r>
      <w:r>
        <w:rPr>
          <w:rFonts w:ascii="宋体" w:hAnsi="宋体" w:eastAsia="宋体" w:cs="宋体"/>
          <w:b w:val="0"/>
        </w:rPr>
        <w:cr/>
      </w:r>
      <w:r>
        <w:rPr>
          <w:rFonts w:ascii="宋体" w:hAnsi="宋体" w:eastAsia="宋体" w:cs="宋体"/>
          <w:b w:val="0"/>
        </w:rPr>
        <w:t xml:space="preserve">    5、基金份额净值</w:t>
      </w:r>
      <w:r>
        <w:rPr>
          <w:rFonts w:ascii="宋体" w:hAnsi="宋体" w:eastAsia="宋体" w:cs="宋体"/>
          <w:b w:val="0"/>
        </w:rPr>
        <w:cr/>
      </w:r>
      <w:r>
        <w:rPr>
          <w:rFonts w:ascii="宋体" w:hAnsi="宋体" w:eastAsia="宋体" w:cs="宋体"/>
          <w:b w:val="0"/>
        </w:rPr>
        <w:t xml:space="preserve">    6、基金销售机构及联系方式</w:t>
      </w:r>
      <w:r>
        <w:rPr>
          <w:rFonts w:ascii="宋体" w:hAnsi="宋体" w:eastAsia="宋体" w:cs="宋体"/>
          <w:b w:val="0"/>
        </w:rPr>
        <w:cr/>
      </w:r>
      <w:r>
        <w:rPr>
          <w:rFonts w:ascii="宋体" w:hAnsi="宋体" w:eastAsia="宋体" w:cs="宋体"/>
          <w:b w:val="0"/>
        </w:rPr>
        <w:t xml:space="preserve">    7、其他重要资料</w:t>
      </w:r>
    </w:p>
    <w:p/>
    <w:p>
      <w:pPr>
        <w:pStyle w:val="3"/>
        <w:jc w:val="left"/>
      </w:pPr>
      <w:r>
        <w:rPr>
          <w:rFonts w:ascii="宋体" w:hAnsi="宋体" w:eastAsia="宋体" w:cs="宋体"/>
        </w:rPr>
        <w:t>六、其他情况说明</w:t>
      </w:r>
    </w:p>
    <w:p>
      <w:pPr>
        <w:jc w:val="left"/>
      </w:pPr>
      <w:r>
        <w:rPr>
          <w:rFonts w:ascii="宋体" w:hAnsi="宋体" w:eastAsia="宋体" w:cs="宋体"/>
          <w:b w:val="0"/>
        </w:rPr>
        <w:t xml:space="preserve">    无。</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418" w:bottom="1440" w:left="1418" w:header="851" w:footer="851"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auto" w:sz="2" w:space="0"/>
      </w:pBdr>
      <w:tabs>
        <w:tab w:val="right" w:pos="8640"/>
      </w:tabs>
      <w:jc w:val="center"/>
      <w:textAlignment w:val="center"/>
      <w:rPr>
        <w:rFonts w:ascii="宋体" w:hAnsi="宋体"/>
        <w:sz w:val="20"/>
        <w:szCs w:val="20"/>
      </w:rPr>
    </w:pPr>
    <w:r>
      <w:rPr>
        <w:rFonts w:hint="eastAsia" w:ascii="宋体" w:hAnsi="宋体" w:cs="宋体"/>
        <w:sz w:val="20"/>
        <w:szCs w:val="20"/>
        <w:lang w:bidi="ar"/>
      </w:rPr>
      <w:t>第</w:t>
    </w:r>
    <w:r>
      <w:rPr>
        <w:rFonts w:hint="eastAsia" w:ascii="宋体" w:hAnsi="宋体" w:cs="Times New Roman"/>
        <w:sz w:val="20"/>
        <w:szCs w:val="20"/>
        <w:lang w:bidi="ar"/>
      </w:rPr>
      <w:fldChar w:fldCharType="begin"/>
    </w:r>
    <w:r>
      <w:rPr>
        <w:rFonts w:hint="eastAsia" w:ascii="宋体" w:hAnsi="宋体" w:cs="宋体"/>
        <w:sz w:val="20"/>
        <w:szCs w:val="20"/>
        <w:lang w:bidi="ar"/>
      </w:rPr>
      <w:instrText xml:space="preserve">PAGE  \* MERGEFORMAT</w:instrText>
    </w:r>
    <w:r>
      <w:rPr>
        <w:rFonts w:hint="eastAsia" w:ascii="宋体" w:hAnsi="宋体" w:cs="Times New Roman"/>
        <w:sz w:val="20"/>
        <w:szCs w:val="20"/>
        <w:lang w:bidi="ar"/>
      </w:rPr>
      <w:fldChar w:fldCharType="separate"/>
    </w:r>
    <w:r>
      <w:rPr>
        <w:rFonts w:ascii="宋体" w:hAnsi="宋体" w:cs="宋体"/>
        <w:sz w:val="20"/>
        <w:szCs w:val="20"/>
        <w:lang w:bidi="ar"/>
      </w:rPr>
      <w:t>1</w:t>
    </w:r>
    <w:r>
      <w:rPr>
        <w:rFonts w:hint="eastAsia" w:ascii="宋体" w:hAnsi="宋体" w:cs="宋体"/>
        <w:sz w:val="20"/>
        <w:szCs w:val="20"/>
        <w:lang w:bidi="ar"/>
      </w:rPr>
      <w:fldChar w:fldCharType="end"/>
    </w:r>
    <w:r>
      <w:rPr>
        <w:rFonts w:hint="eastAsia" w:ascii="宋体" w:hAnsi="宋体" w:cs="宋体"/>
        <w:sz w:val="20"/>
        <w:szCs w:val="20"/>
        <w:lang w:bidi="ar"/>
      </w:rPr>
      <w:t>页，共</w:t>
    </w:r>
    <w:r>
      <w:rPr>
        <w:rFonts w:hint="eastAsia" w:ascii="宋体" w:hAnsi="宋体" w:cs="Times New Roman"/>
        <w:sz w:val="20"/>
        <w:szCs w:val="20"/>
        <w:lang w:bidi="ar"/>
      </w:rPr>
      <w:fldChar w:fldCharType="begin"/>
    </w:r>
    <w:r>
      <w:rPr>
        <w:rFonts w:hint="eastAsia" w:ascii="宋体" w:hAnsi="宋体" w:cs="宋体"/>
        <w:sz w:val="20"/>
        <w:szCs w:val="20"/>
        <w:lang w:bidi="ar"/>
      </w:rPr>
      <w:instrText xml:space="preserve">NUMPAGES  \* MERGEFORMAT </w:instrText>
    </w:r>
    <w:r>
      <w:rPr>
        <w:rFonts w:hint="eastAsia" w:ascii="宋体" w:hAnsi="宋体" w:cs="Times New Roman"/>
        <w:sz w:val="20"/>
        <w:szCs w:val="20"/>
        <w:lang w:bidi="ar"/>
      </w:rPr>
      <w:fldChar w:fldCharType="separate"/>
    </w:r>
    <w:r>
      <w:rPr>
        <w:rFonts w:ascii="宋体" w:hAnsi="宋体" w:cs="宋体"/>
        <w:sz w:val="20"/>
        <w:szCs w:val="20"/>
        <w:lang w:bidi="ar"/>
      </w:rPr>
      <w:t>1</w:t>
    </w:r>
    <w:r>
      <w:rPr>
        <w:rFonts w:hint="eastAsia" w:ascii="宋体" w:hAnsi="宋体" w:cs="宋体"/>
        <w:sz w:val="20"/>
        <w:szCs w:val="20"/>
        <w:lang w:bidi="ar"/>
      </w:rPr>
      <w:fldChar w:fldCharType="end"/>
    </w:r>
    <w:r>
      <w:rPr>
        <w:rFonts w:hint="eastAsia" w:ascii="宋体" w:hAnsi="宋体" w:cs="宋体"/>
        <w:sz w:val="20"/>
        <w:szCs w:val="20"/>
        <w:lang w:bidi="ar"/>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rPr>
        <w:rFonts w:ascii="宋体" w:hAnsi="宋体"/>
      </w:rPr>
    </w:pPr>
    <w:r>
      <w:rPr>
        <w:rFonts w:ascii="宋体" w:hAnsi="宋体"/>
      </w:rPr>
      <w:ptab w:relativeTo="margin" w:alignment="center" w:leader="none"/>
    </w:r>
    <w:r>
      <w:rPr>
        <w:rFonts w:hint="eastAsia" w:ascii="宋体" w:hAnsi="宋体"/>
        <w:sz w:val="18"/>
      </w:rPr>
      <w:t>国新国证鑫泰三个月定期开放债券型证券投资基金基金产品资料概要更新</w:t>
    </w:r>
    <w:r>
      <w:rPr>
        <w:rFonts w:ascii="宋体" w:hAnsi="宋体"/>
      </w:rPr>
      <w:ptab w:relativeTo="margin" w:alignment="right" w:leader="non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4F1"/>
    <w:rsid w:val="0000797B"/>
    <w:rsid w:val="000172DD"/>
    <w:rsid w:val="00031D8B"/>
    <w:rsid w:val="00033DD2"/>
    <w:rsid w:val="000358E9"/>
    <w:rsid w:val="00044DFE"/>
    <w:rsid w:val="00067EA6"/>
    <w:rsid w:val="000B14F1"/>
    <w:rsid w:val="000D44F1"/>
    <w:rsid w:val="000F65E0"/>
    <w:rsid w:val="00144E90"/>
    <w:rsid w:val="0016202E"/>
    <w:rsid w:val="00180271"/>
    <w:rsid w:val="001A0694"/>
    <w:rsid w:val="001B34AD"/>
    <w:rsid w:val="001E49DE"/>
    <w:rsid w:val="001E72DB"/>
    <w:rsid w:val="001E7C0C"/>
    <w:rsid w:val="001F2A2B"/>
    <w:rsid w:val="00213B69"/>
    <w:rsid w:val="0025237E"/>
    <w:rsid w:val="0026022A"/>
    <w:rsid w:val="00262E08"/>
    <w:rsid w:val="002846DD"/>
    <w:rsid w:val="00287789"/>
    <w:rsid w:val="00294812"/>
    <w:rsid w:val="002A1FFE"/>
    <w:rsid w:val="002A36A8"/>
    <w:rsid w:val="002B4056"/>
    <w:rsid w:val="002C6A0C"/>
    <w:rsid w:val="002D4665"/>
    <w:rsid w:val="002E2BC7"/>
    <w:rsid w:val="00324653"/>
    <w:rsid w:val="00347962"/>
    <w:rsid w:val="00355A5F"/>
    <w:rsid w:val="003B643E"/>
    <w:rsid w:val="003E01BE"/>
    <w:rsid w:val="003E7B21"/>
    <w:rsid w:val="00420D84"/>
    <w:rsid w:val="00435171"/>
    <w:rsid w:val="00464645"/>
    <w:rsid w:val="0048630B"/>
    <w:rsid w:val="004A5321"/>
    <w:rsid w:val="004B3066"/>
    <w:rsid w:val="004F33D8"/>
    <w:rsid w:val="005037A9"/>
    <w:rsid w:val="00515E8B"/>
    <w:rsid w:val="00536F98"/>
    <w:rsid w:val="0054091C"/>
    <w:rsid w:val="005826D5"/>
    <w:rsid w:val="005A2FA6"/>
    <w:rsid w:val="005B565C"/>
    <w:rsid w:val="005D1F67"/>
    <w:rsid w:val="0061633B"/>
    <w:rsid w:val="006303D6"/>
    <w:rsid w:val="0063564B"/>
    <w:rsid w:val="00666C63"/>
    <w:rsid w:val="00680025"/>
    <w:rsid w:val="006935A0"/>
    <w:rsid w:val="006A6402"/>
    <w:rsid w:val="006B4B3E"/>
    <w:rsid w:val="006C7BC8"/>
    <w:rsid w:val="006D1AF4"/>
    <w:rsid w:val="006D1D70"/>
    <w:rsid w:val="00752D0D"/>
    <w:rsid w:val="007D6500"/>
    <w:rsid w:val="007F2E5E"/>
    <w:rsid w:val="00832DA1"/>
    <w:rsid w:val="00842B26"/>
    <w:rsid w:val="00850BF6"/>
    <w:rsid w:val="00857D40"/>
    <w:rsid w:val="00917A48"/>
    <w:rsid w:val="0092608A"/>
    <w:rsid w:val="00953CC9"/>
    <w:rsid w:val="0099208B"/>
    <w:rsid w:val="009A27BD"/>
    <w:rsid w:val="009C2384"/>
    <w:rsid w:val="009E2E87"/>
    <w:rsid w:val="009F43BC"/>
    <w:rsid w:val="009F4840"/>
    <w:rsid w:val="00A05910"/>
    <w:rsid w:val="00A74E55"/>
    <w:rsid w:val="00A96B95"/>
    <w:rsid w:val="00AE104D"/>
    <w:rsid w:val="00AF44FF"/>
    <w:rsid w:val="00B53886"/>
    <w:rsid w:val="00B659D3"/>
    <w:rsid w:val="00BD2190"/>
    <w:rsid w:val="00BD2BC1"/>
    <w:rsid w:val="00C05CA1"/>
    <w:rsid w:val="00C06BEF"/>
    <w:rsid w:val="00C15EFA"/>
    <w:rsid w:val="00C563A3"/>
    <w:rsid w:val="00C6706A"/>
    <w:rsid w:val="00C84B5D"/>
    <w:rsid w:val="00CC4CE4"/>
    <w:rsid w:val="00CC6846"/>
    <w:rsid w:val="00D04B24"/>
    <w:rsid w:val="00D85B08"/>
    <w:rsid w:val="00D91EBF"/>
    <w:rsid w:val="00DC5E2B"/>
    <w:rsid w:val="00DE3FE0"/>
    <w:rsid w:val="00DF1D38"/>
    <w:rsid w:val="00E220FA"/>
    <w:rsid w:val="00E24BF6"/>
    <w:rsid w:val="00E34F85"/>
    <w:rsid w:val="00E371F8"/>
    <w:rsid w:val="00E913D3"/>
    <w:rsid w:val="00F1496B"/>
    <w:rsid w:val="00F17E43"/>
    <w:rsid w:val="00F32DCB"/>
    <w:rsid w:val="00F60A22"/>
    <w:rsid w:val="00F819EF"/>
    <w:rsid w:val="00F931A0"/>
    <w:rsid w:val="00F935C5"/>
    <w:rsid w:val="00FA0949"/>
    <w:rsid w:val="00FC4DE5"/>
    <w:rsid w:val="17FF4F08"/>
    <w:rsid w:val="26541B5D"/>
    <w:rsid w:val="312016A7"/>
    <w:rsid w:val="328572ED"/>
    <w:rsid w:val="3E9A1429"/>
    <w:rsid w:val="423E6903"/>
    <w:rsid w:val="5EE34946"/>
    <w:rsid w:val="62671060"/>
    <w:rsid w:val="67517C74"/>
    <w:rsid w:val="791E22E2"/>
    <w:rsid w:val="7A382AC9"/>
    <w:rsid w:val="7F246E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qFormat="1" w:uiPriority="39" w:semiHidden="0" w:name="toc 2"/>
    <w:lsdException w:uiPriority="39" w:semiHidden="0" w:name="toc 3"/>
    <w:lsdException w:qFormat="1" w:uiPriority="39" w:semiHidden="0" w:name="toc 4"/>
    <w:lsdException w:uiPriority="39" w:semiHidden="0" w:name="toc 5"/>
    <w:lsdException w:qFormat="1" w:uiPriority="39" w:semiHidden="0" w:name="toc 6"/>
    <w:lsdException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qFormat="1" w:uiPriority="61"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88" w:lineRule="auto"/>
      <w:jc w:val="both"/>
    </w:pPr>
    <w:rPr>
      <w:rFonts w:eastAsia="宋体" w:asciiTheme="minorHAnsi" w:hAnsiTheme="minorHAnsi" w:cstheme="minorBidi"/>
      <w:kern w:val="2"/>
      <w:sz w:val="21"/>
      <w:szCs w:val="21"/>
      <w:lang w:val="en-US" w:eastAsia="zh-CN" w:bidi="ar-SA"/>
    </w:rPr>
  </w:style>
  <w:style w:type="paragraph" w:styleId="2">
    <w:name w:val="heading 1"/>
    <w:basedOn w:val="1"/>
    <w:next w:val="1"/>
    <w:link w:val="37"/>
    <w:qFormat/>
    <w:uiPriority w:val="9"/>
    <w:pPr>
      <w:spacing w:before="340" w:after="330" w:line="576" w:lineRule="auto"/>
      <w:jc w:val="center"/>
      <w:outlineLvl w:val="0"/>
    </w:pPr>
    <w:rPr>
      <w:b/>
      <w:bCs/>
      <w:kern w:val="44"/>
      <w:sz w:val="24"/>
      <w:szCs w:val="44"/>
    </w:rPr>
  </w:style>
  <w:style w:type="paragraph" w:styleId="3">
    <w:name w:val="heading 2"/>
    <w:basedOn w:val="1"/>
    <w:next w:val="1"/>
    <w:link w:val="38"/>
    <w:unhideWhenUsed/>
    <w:qFormat/>
    <w:uiPriority w:val="9"/>
    <w:pPr>
      <w:adjustRightInd w:val="0"/>
      <w:spacing w:line="360" w:lineRule="auto"/>
      <w:jc w:val="left"/>
      <w:outlineLvl w:val="1"/>
    </w:pPr>
    <w:rPr>
      <w:rFonts w:asciiTheme="majorHAnsi" w:hAnsiTheme="majorHAnsi" w:cstheme="majorBidi"/>
      <w:b/>
      <w:bCs/>
      <w:sz w:val="24"/>
      <w:szCs w:val="32"/>
    </w:rPr>
  </w:style>
  <w:style w:type="paragraph" w:styleId="4">
    <w:name w:val="heading 3"/>
    <w:basedOn w:val="1"/>
    <w:next w:val="1"/>
    <w:link w:val="39"/>
    <w:unhideWhenUsed/>
    <w:qFormat/>
    <w:uiPriority w:val="9"/>
    <w:pPr>
      <w:keepNext/>
      <w:keepLines/>
      <w:spacing w:line="360" w:lineRule="auto"/>
      <w:outlineLvl w:val="2"/>
    </w:pPr>
    <w:rPr>
      <w:b/>
      <w:bCs/>
      <w:sz w:val="24"/>
      <w:szCs w:val="32"/>
    </w:rPr>
  </w:style>
  <w:style w:type="paragraph" w:styleId="5">
    <w:name w:val="heading 4"/>
    <w:basedOn w:val="1"/>
    <w:next w:val="1"/>
    <w:link w:val="40"/>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30">
    <w:name w:val="Default Paragraph Font"/>
    <w:semiHidden/>
    <w:unhideWhenUsed/>
    <w:qFormat/>
    <w:uiPriority w:val="1"/>
  </w:style>
  <w:style w:type="table" w:default="1" w:styleId="27">
    <w:name w:val="Normal Table"/>
    <w:semiHidden/>
    <w:unhideWhenUsed/>
    <w:uiPriority w:val="99"/>
    <w:tblPr>
      <w:tblCellMar>
        <w:top w:w="0" w:type="dxa"/>
        <w:left w:w="108" w:type="dxa"/>
        <w:bottom w:w="0" w:type="dxa"/>
        <w:right w:w="108" w:type="dxa"/>
      </w:tblCellMar>
    </w:tblPr>
  </w:style>
  <w:style w:type="paragraph" w:styleId="6">
    <w:name w:val="toc 7"/>
    <w:basedOn w:val="1"/>
    <w:next w:val="1"/>
    <w:unhideWhenUsed/>
    <w:uiPriority w:val="39"/>
    <w:pPr>
      <w:ind w:left="1260"/>
      <w:jc w:val="left"/>
    </w:pPr>
    <w:rPr>
      <w:sz w:val="18"/>
      <w:szCs w:val="18"/>
    </w:rPr>
  </w:style>
  <w:style w:type="paragraph" w:styleId="7">
    <w:name w:val="Normal Indent"/>
    <w:basedOn w:val="1"/>
    <w:link w:val="41"/>
    <w:semiHidden/>
    <w:unhideWhenUsed/>
    <w:uiPriority w:val="99"/>
    <w:pPr>
      <w:ind w:firstLine="420" w:firstLineChars="200"/>
    </w:pPr>
  </w:style>
  <w:style w:type="paragraph" w:styleId="8">
    <w:name w:val="Document Map"/>
    <w:basedOn w:val="1"/>
    <w:link w:val="57"/>
    <w:semiHidden/>
    <w:unhideWhenUsed/>
    <w:uiPriority w:val="99"/>
    <w:rPr>
      <w:rFonts w:ascii="宋体"/>
      <w:sz w:val="18"/>
      <w:szCs w:val="18"/>
    </w:rPr>
  </w:style>
  <w:style w:type="paragraph" w:styleId="9">
    <w:name w:val="annotation text"/>
    <w:basedOn w:val="1"/>
    <w:link w:val="42"/>
    <w:semiHidden/>
    <w:unhideWhenUsed/>
    <w:qFormat/>
    <w:uiPriority w:val="99"/>
    <w:pPr>
      <w:jc w:val="left"/>
    </w:pPr>
  </w:style>
  <w:style w:type="paragraph" w:styleId="10">
    <w:name w:val="Body Text"/>
    <w:basedOn w:val="1"/>
    <w:link w:val="45"/>
    <w:semiHidden/>
    <w:unhideWhenUsed/>
    <w:uiPriority w:val="99"/>
    <w:pPr>
      <w:spacing w:after="120"/>
    </w:pPr>
  </w:style>
  <w:style w:type="paragraph" w:styleId="11">
    <w:name w:val="toc 5"/>
    <w:basedOn w:val="1"/>
    <w:next w:val="1"/>
    <w:unhideWhenUsed/>
    <w:uiPriority w:val="39"/>
    <w:pPr>
      <w:ind w:left="840"/>
      <w:jc w:val="left"/>
    </w:pPr>
    <w:rPr>
      <w:sz w:val="18"/>
      <w:szCs w:val="18"/>
    </w:rPr>
  </w:style>
  <w:style w:type="paragraph" w:styleId="12">
    <w:name w:val="toc 3"/>
    <w:basedOn w:val="1"/>
    <w:next w:val="1"/>
    <w:unhideWhenUsed/>
    <w:uiPriority w:val="39"/>
    <w:pPr>
      <w:spacing w:line="240" w:lineRule="auto"/>
      <w:ind w:left="420"/>
      <w:jc w:val="left"/>
    </w:pPr>
    <w:rPr>
      <w:i/>
      <w:iCs/>
      <w:szCs w:val="20"/>
    </w:rPr>
  </w:style>
  <w:style w:type="paragraph" w:styleId="13">
    <w:name w:val="Plain Text"/>
    <w:basedOn w:val="1"/>
    <w:link w:val="47"/>
    <w:semiHidden/>
    <w:unhideWhenUsed/>
    <w:qFormat/>
    <w:uiPriority w:val="99"/>
    <w:rPr>
      <w:rFonts w:hAnsi="Courier New" w:cs="Courier New" w:asciiTheme="minorEastAsia"/>
    </w:rPr>
  </w:style>
  <w:style w:type="paragraph" w:styleId="14">
    <w:name w:val="toc 8"/>
    <w:basedOn w:val="1"/>
    <w:next w:val="1"/>
    <w:unhideWhenUsed/>
    <w:qFormat/>
    <w:uiPriority w:val="39"/>
    <w:pPr>
      <w:ind w:left="1470"/>
      <w:jc w:val="left"/>
    </w:pPr>
    <w:rPr>
      <w:rFonts w:eastAsiaTheme="minorHAnsi"/>
      <w:sz w:val="18"/>
      <w:szCs w:val="18"/>
    </w:rPr>
  </w:style>
  <w:style w:type="paragraph" w:styleId="15">
    <w:name w:val="Date"/>
    <w:basedOn w:val="1"/>
    <w:next w:val="1"/>
    <w:link w:val="46"/>
    <w:semiHidden/>
    <w:unhideWhenUsed/>
    <w:uiPriority w:val="99"/>
    <w:pPr>
      <w:ind w:left="100" w:leftChars="2500"/>
    </w:pPr>
  </w:style>
  <w:style w:type="paragraph" w:styleId="16">
    <w:name w:val="Balloon Text"/>
    <w:basedOn w:val="1"/>
    <w:link w:val="49"/>
    <w:semiHidden/>
    <w:unhideWhenUsed/>
    <w:uiPriority w:val="99"/>
    <w:rPr>
      <w:sz w:val="18"/>
      <w:szCs w:val="18"/>
    </w:rPr>
  </w:style>
  <w:style w:type="paragraph" w:styleId="17">
    <w:name w:val="footer"/>
    <w:basedOn w:val="1"/>
    <w:link w:val="44"/>
    <w:unhideWhenUsed/>
    <w:uiPriority w:val="99"/>
    <w:pPr>
      <w:tabs>
        <w:tab w:val="center" w:pos="4153"/>
        <w:tab w:val="right" w:pos="8306"/>
      </w:tabs>
      <w:snapToGrid w:val="0"/>
      <w:jc w:val="left"/>
    </w:pPr>
    <w:rPr>
      <w:sz w:val="18"/>
      <w:szCs w:val="18"/>
    </w:rPr>
  </w:style>
  <w:style w:type="paragraph" w:styleId="18">
    <w:name w:val="header"/>
    <w:basedOn w:val="1"/>
    <w:link w:val="43"/>
    <w:unhideWhenUsed/>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unhideWhenUsed/>
    <w:uiPriority w:val="39"/>
    <w:pPr>
      <w:tabs>
        <w:tab w:val="right" w:leader="dot" w:pos="9060"/>
      </w:tabs>
      <w:spacing w:line="240" w:lineRule="auto"/>
      <w:jc w:val="left"/>
    </w:pPr>
    <w:rPr>
      <w:b/>
      <w:bCs/>
      <w:caps/>
      <w:szCs w:val="20"/>
    </w:rPr>
  </w:style>
  <w:style w:type="paragraph" w:styleId="20">
    <w:name w:val="toc 4"/>
    <w:basedOn w:val="1"/>
    <w:next w:val="1"/>
    <w:unhideWhenUsed/>
    <w:qFormat/>
    <w:uiPriority w:val="39"/>
    <w:pPr>
      <w:ind w:left="630"/>
      <w:jc w:val="left"/>
    </w:pPr>
    <w:rPr>
      <w:sz w:val="18"/>
      <w:szCs w:val="18"/>
    </w:rPr>
  </w:style>
  <w:style w:type="paragraph" w:styleId="21">
    <w:name w:val="toc 6"/>
    <w:basedOn w:val="1"/>
    <w:next w:val="1"/>
    <w:unhideWhenUsed/>
    <w:qFormat/>
    <w:uiPriority w:val="39"/>
    <w:pPr>
      <w:ind w:left="1050"/>
      <w:jc w:val="left"/>
    </w:pPr>
    <w:rPr>
      <w:sz w:val="18"/>
      <w:szCs w:val="18"/>
    </w:rPr>
  </w:style>
  <w:style w:type="paragraph" w:styleId="22">
    <w:name w:val="toc 2"/>
    <w:basedOn w:val="1"/>
    <w:next w:val="1"/>
    <w:unhideWhenUsed/>
    <w:qFormat/>
    <w:uiPriority w:val="39"/>
    <w:pPr>
      <w:spacing w:line="240" w:lineRule="auto"/>
      <w:ind w:left="210"/>
      <w:jc w:val="left"/>
    </w:pPr>
    <w:rPr>
      <w:smallCaps/>
      <w:szCs w:val="20"/>
    </w:rPr>
  </w:style>
  <w:style w:type="paragraph" w:styleId="23">
    <w:name w:val="toc 9"/>
    <w:basedOn w:val="1"/>
    <w:next w:val="1"/>
    <w:unhideWhenUsed/>
    <w:qFormat/>
    <w:uiPriority w:val="39"/>
    <w:pPr>
      <w:ind w:left="1680"/>
      <w:jc w:val="left"/>
    </w:pPr>
    <w:rPr>
      <w:rFonts w:eastAsiaTheme="minorHAnsi"/>
      <w:sz w:val="18"/>
      <w:szCs w:val="18"/>
    </w:rPr>
  </w:style>
  <w:style w:type="paragraph" w:styleId="24">
    <w:name w:val="Normal (Web)"/>
    <w:basedOn w:val="1"/>
    <w:semiHidden/>
    <w:unhideWhenUsed/>
    <w:qFormat/>
    <w:uiPriority w:val="99"/>
    <w:rPr>
      <w:rFonts w:ascii="Times New Roman" w:hAnsi="Times New Roman" w:cs="宋体"/>
      <w:sz w:val="24"/>
      <w:szCs w:val="24"/>
    </w:rPr>
  </w:style>
  <w:style w:type="paragraph" w:styleId="25">
    <w:name w:val="Title"/>
    <w:basedOn w:val="1"/>
    <w:next w:val="1"/>
    <w:link w:val="51"/>
    <w:qFormat/>
    <w:uiPriority w:val="10"/>
    <w:pPr>
      <w:spacing w:before="240" w:after="60"/>
      <w:jc w:val="center"/>
      <w:outlineLvl w:val="0"/>
    </w:pPr>
    <w:rPr>
      <w:rFonts w:asciiTheme="majorHAnsi" w:hAnsiTheme="majorHAnsi" w:eastAsiaTheme="majorEastAsia" w:cstheme="majorBidi"/>
      <w:b/>
      <w:bCs/>
      <w:sz w:val="32"/>
      <w:szCs w:val="32"/>
    </w:rPr>
  </w:style>
  <w:style w:type="paragraph" w:styleId="26">
    <w:name w:val="annotation subject"/>
    <w:basedOn w:val="9"/>
    <w:next w:val="9"/>
    <w:link w:val="48"/>
    <w:semiHidden/>
    <w:unhideWhenUsed/>
    <w:qFormat/>
    <w:uiPriority w:val="99"/>
    <w:rPr>
      <w:b/>
      <w:bCs/>
    </w:rPr>
  </w:style>
  <w:style w:type="table" w:styleId="28">
    <w:name w:val="Table Grid"/>
    <w:basedOn w:val="27"/>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9">
    <w:name w:val="Light List Accent 1"/>
    <w:basedOn w:val="27"/>
    <w:semiHidden/>
    <w:unhideWhenUsed/>
    <w:qFormat/>
    <w:uiPriority w:val="61"/>
    <w:rPr>
      <w:rFonts w:ascii="Times New Roman" w:hAnsi="Times New Roman" w:eastAsia="宋体" w:cs="Times New Roman"/>
      <w:kern w:val="0"/>
      <w:sz w:val="20"/>
      <w:szCs w:val="20"/>
    </w:rPr>
    <w:tblPr>
      <w:tblBorders>
        <w:top w:val="single" w:color="5B9BD5" w:themeColor="accent1" w:sz="8" w:space="0"/>
        <w:left w:val="single" w:color="5B9BD5" w:themeColor="accent1" w:sz="8" w:space="0"/>
        <w:bottom w:val="single" w:color="5B9BD5" w:themeColor="accent1" w:sz="8" w:space="0"/>
        <w:right w:val="single" w:color="5B9BD5"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5B9BD5" w:themeFill="accent1"/>
      </w:tcPr>
    </w:tblStylePr>
    <w:tblStylePr w:type="lastRow">
      <w:pPr>
        <w:spacing w:before="0" w:after="0" w:line="240" w:lineRule="auto"/>
      </w:pPr>
      <w:rPr>
        <w:b/>
        <w:bCs/>
      </w:rPr>
      <w:tblPr/>
      <w:tcPr>
        <w:tcBorders>
          <w:top w:val="double" w:color="5B9BD5" w:themeColor="accent1" w:sz="6" w:space="0"/>
          <w:left w:val="single" w:color="5B9BD5" w:themeColor="accent1" w:sz="8" w:space="0"/>
          <w:bottom w:val="single" w:color="5B9BD5" w:themeColor="accent1" w:sz="8" w:space="0"/>
          <w:right w:val="single" w:color="5B9BD5" w:themeColor="accent1" w:sz="8" w:space="0"/>
        </w:tcBorders>
      </w:tcPr>
    </w:tblStylePr>
    <w:tblStylePr w:type="firstCol">
      <w:rPr>
        <w:b/>
        <w:bCs/>
      </w:rPr>
    </w:tblStylePr>
    <w:tblStylePr w:type="lastCol">
      <w:rPr>
        <w:b/>
        <w:bCs/>
      </w:rPr>
    </w:tblStylePr>
    <w:tblStylePr w:type="band1Vert">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tblStylePr w:type="band1Horz">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style>
  <w:style w:type="character" w:styleId="31">
    <w:name w:val="Strong"/>
    <w:basedOn w:val="30"/>
    <w:qFormat/>
    <w:uiPriority w:val="22"/>
    <w:rPr>
      <w:b/>
      <w:bCs/>
    </w:rPr>
  </w:style>
  <w:style w:type="character" w:styleId="32">
    <w:name w:val="Hyperlink"/>
    <w:basedOn w:val="30"/>
    <w:unhideWhenUsed/>
    <w:qFormat/>
    <w:uiPriority w:val="99"/>
    <w:rPr>
      <w:color w:val="0000FF"/>
      <w:u w:val="single"/>
    </w:rPr>
  </w:style>
  <w:style w:type="character" w:styleId="33">
    <w:name w:val="HTML Code"/>
    <w:basedOn w:val="30"/>
    <w:semiHidden/>
    <w:unhideWhenUsed/>
    <w:qFormat/>
    <w:uiPriority w:val="99"/>
    <w:rPr>
      <w:rFonts w:ascii="Courier New" w:hAnsi="Courier New" w:cs="Courier New"/>
      <w:sz w:val="20"/>
      <w:szCs w:val="20"/>
    </w:rPr>
  </w:style>
  <w:style w:type="character" w:styleId="34">
    <w:name w:val="annotation reference"/>
    <w:basedOn w:val="30"/>
    <w:semiHidden/>
    <w:unhideWhenUsed/>
    <w:qFormat/>
    <w:uiPriority w:val="99"/>
    <w:rPr>
      <w:sz w:val="21"/>
      <w:szCs w:val="21"/>
    </w:rPr>
  </w:style>
  <w:style w:type="paragraph" w:customStyle="1" w:styleId="35">
    <w:name w:val="代码样式"/>
    <w:link w:val="36"/>
    <w:qFormat/>
    <w:uiPriority w:val="0"/>
    <w:pPr>
      <w:pBdr>
        <w:top w:val="single" w:color="auto" w:sz="4" w:space="1"/>
        <w:left w:val="single" w:color="auto" w:sz="4" w:space="4"/>
        <w:bottom w:val="single" w:color="auto" w:sz="4" w:space="1"/>
        <w:right w:val="single" w:color="auto" w:sz="4" w:space="4"/>
      </w:pBdr>
      <w:shd w:val="clear" w:color="auto" w:fill="A8D08D" w:themeFill="accent6" w:themeFillTint="99"/>
      <w:spacing w:beforeLines="50" w:afterLines="50"/>
      <w:ind w:left="50" w:leftChars="50" w:right="50" w:rightChars="50"/>
    </w:pPr>
    <w:rPr>
      <w:rFonts w:asciiTheme="minorHAnsi" w:hAnsiTheme="minorHAnsi" w:eastAsiaTheme="minorEastAsia" w:cstheme="minorBidi"/>
      <w:kern w:val="2"/>
      <w:sz w:val="21"/>
      <w:szCs w:val="21"/>
      <w:lang w:val="en-US" w:eastAsia="zh-CN" w:bidi="ar-SA"/>
    </w:rPr>
  </w:style>
  <w:style w:type="character" w:customStyle="1" w:styleId="36">
    <w:name w:val="代码样式 Char"/>
    <w:basedOn w:val="30"/>
    <w:link w:val="35"/>
    <w:qFormat/>
    <w:uiPriority w:val="0"/>
    <w:rPr>
      <w:shd w:val="clear" w:color="auto" w:fill="A8D08D" w:themeFill="accent6" w:themeFillTint="99"/>
    </w:rPr>
  </w:style>
  <w:style w:type="character" w:customStyle="1" w:styleId="37">
    <w:name w:val="标题 1 字符"/>
    <w:basedOn w:val="30"/>
    <w:link w:val="2"/>
    <w:qFormat/>
    <w:uiPriority w:val="9"/>
    <w:rPr>
      <w:rFonts w:eastAsia="宋体"/>
      <w:b/>
      <w:bCs/>
      <w:kern w:val="44"/>
      <w:sz w:val="24"/>
      <w:szCs w:val="44"/>
    </w:rPr>
  </w:style>
  <w:style w:type="character" w:customStyle="1" w:styleId="38">
    <w:name w:val="标题 2 字符"/>
    <w:basedOn w:val="30"/>
    <w:link w:val="3"/>
    <w:qFormat/>
    <w:uiPriority w:val="9"/>
    <w:rPr>
      <w:rFonts w:eastAsia="宋体" w:asciiTheme="majorHAnsi" w:hAnsiTheme="majorHAnsi" w:cstheme="majorBidi"/>
      <w:b/>
      <w:bCs/>
      <w:sz w:val="24"/>
      <w:szCs w:val="32"/>
    </w:rPr>
  </w:style>
  <w:style w:type="character" w:customStyle="1" w:styleId="39">
    <w:name w:val="标题 3 字符"/>
    <w:basedOn w:val="30"/>
    <w:link w:val="4"/>
    <w:qFormat/>
    <w:uiPriority w:val="9"/>
    <w:rPr>
      <w:rFonts w:eastAsia="宋体"/>
      <w:b/>
      <w:bCs/>
      <w:sz w:val="24"/>
      <w:szCs w:val="32"/>
    </w:rPr>
  </w:style>
  <w:style w:type="character" w:customStyle="1" w:styleId="40">
    <w:name w:val="标题 4 字符"/>
    <w:basedOn w:val="30"/>
    <w:link w:val="5"/>
    <w:semiHidden/>
    <w:qFormat/>
    <w:uiPriority w:val="9"/>
    <w:rPr>
      <w:rFonts w:asciiTheme="majorHAnsi" w:hAnsiTheme="majorHAnsi" w:eastAsiaTheme="majorEastAsia" w:cstheme="majorBidi"/>
      <w:b/>
      <w:bCs/>
      <w:sz w:val="28"/>
      <w:szCs w:val="28"/>
    </w:rPr>
  </w:style>
  <w:style w:type="character" w:customStyle="1" w:styleId="41">
    <w:name w:val="正文缩进 字符"/>
    <w:link w:val="7"/>
    <w:semiHidden/>
    <w:qFormat/>
    <w:uiPriority w:val="99"/>
    <w:rPr>
      <w:rFonts w:asciiTheme="minorHAnsi" w:hAnsiTheme="minorHAnsi" w:eastAsiaTheme="minorEastAsia" w:cstheme="minorBidi"/>
      <w:sz w:val="21"/>
      <w:szCs w:val="22"/>
    </w:rPr>
  </w:style>
  <w:style w:type="character" w:customStyle="1" w:styleId="42">
    <w:name w:val="批注文字 字符"/>
    <w:basedOn w:val="30"/>
    <w:link w:val="9"/>
    <w:semiHidden/>
    <w:qFormat/>
    <w:uiPriority w:val="99"/>
    <w:rPr>
      <w:rFonts w:asciiTheme="minorHAnsi" w:hAnsiTheme="minorHAnsi" w:eastAsiaTheme="minorEastAsia" w:cstheme="minorBidi"/>
      <w:sz w:val="21"/>
      <w:szCs w:val="22"/>
    </w:rPr>
  </w:style>
  <w:style w:type="character" w:customStyle="1" w:styleId="43">
    <w:name w:val="页眉 字符"/>
    <w:basedOn w:val="30"/>
    <w:link w:val="18"/>
    <w:qFormat/>
    <w:uiPriority w:val="99"/>
    <w:rPr>
      <w:rFonts w:asciiTheme="minorHAnsi" w:hAnsiTheme="minorHAnsi" w:eastAsiaTheme="minorEastAsia" w:cstheme="minorBidi"/>
      <w:sz w:val="18"/>
      <w:szCs w:val="18"/>
    </w:rPr>
  </w:style>
  <w:style w:type="character" w:customStyle="1" w:styleId="44">
    <w:name w:val="页脚 字符"/>
    <w:basedOn w:val="30"/>
    <w:link w:val="17"/>
    <w:qFormat/>
    <w:uiPriority w:val="99"/>
    <w:rPr>
      <w:rFonts w:asciiTheme="minorHAnsi" w:hAnsiTheme="minorHAnsi" w:eastAsiaTheme="minorEastAsia" w:cstheme="minorBidi"/>
      <w:sz w:val="18"/>
      <w:szCs w:val="18"/>
    </w:rPr>
  </w:style>
  <w:style w:type="character" w:customStyle="1" w:styleId="45">
    <w:name w:val="正文文本 字符"/>
    <w:basedOn w:val="30"/>
    <w:link w:val="10"/>
    <w:semiHidden/>
    <w:qFormat/>
    <w:uiPriority w:val="99"/>
    <w:rPr>
      <w:rFonts w:asciiTheme="minorHAnsi" w:hAnsiTheme="minorHAnsi" w:eastAsiaTheme="minorEastAsia" w:cstheme="minorBidi"/>
      <w:sz w:val="21"/>
      <w:szCs w:val="22"/>
    </w:rPr>
  </w:style>
  <w:style w:type="character" w:customStyle="1" w:styleId="46">
    <w:name w:val="日期 字符"/>
    <w:basedOn w:val="30"/>
    <w:link w:val="15"/>
    <w:semiHidden/>
    <w:qFormat/>
    <w:uiPriority w:val="99"/>
    <w:rPr>
      <w:rFonts w:asciiTheme="minorHAnsi" w:hAnsiTheme="minorHAnsi" w:eastAsiaTheme="minorEastAsia" w:cstheme="minorBidi"/>
      <w:sz w:val="21"/>
      <w:szCs w:val="22"/>
    </w:rPr>
  </w:style>
  <w:style w:type="character" w:customStyle="1" w:styleId="47">
    <w:name w:val="纯文本 字符"/>
    <w:basedOn w:val="30"/>
    <w:link w:val="13"/>
    <w:semiHidden/>
    <w:qFormat/>
    <w:uiPriority w:val="99"/>
    <w:rPr>
      <w:rFonts w:hAnsi="Courier New" w:cs="Courier New" w:asciiTheme="minorEastAsia" w:eastAsiaTheme="minorEastAsia"/>
      <w:sz w:val="21"/>
      <w:szCs w:val="22"/>
    </w:rPr>
  </w:style>
  <w:style w:type="character" w:customStyle="1" w:styleId="48">
    <w:name w:val="批注主题 字符"/>
    <w:basedOn w:val="42"/>
    <w:link w:val="26"/>
    <w:semiHidden/>
    <w:qFormat/>
    <w:uiPriority w:val="99"/>
    <w:rPr>
      <w:rFonts w:asciiTheme="minorHAnsi" w:hAnsiTheme="minorHAnsi" w:eastAsiaTheme="minorEastAsia" w:cstheme="minorBidi"/>
      <w:b/>
      <w:bCs/>
      <w:sz w:val="21"/>
      <w:szCs w:val="22"/>
    </w:rPr>
  </w:style>
  <w:style w:type="character" w:customStyle="1" w:styleId="49">
    <w:name w:val="批注框文本 字符"/>
    <w:basedOn w:val="30"/>
    <w:link w:val="16"/>
    <w:semiHidden/>
    <w:qFormat/>
    <w:uiPriority w:val="99"/>
    <w:rPr>
      <w:rFonts w:asciiTheme="minorHAnsi" w:hAnsiTheme="minorHAnsi" w:eastAsiaTheme="minorEastAsia" w:cstheme="minorBidi"/>
      <w:sz w:val="18"/>
      <w:szCs w:val="18"/>
    </w:rPr>
  </w:style>
  <w:style w:type="paragraph" w:styleId="50">
    <w:name w:val="List Paragraph"/>
    <w:basedOn w:val="1"/>
    <w:qFormat/>
    <w:uiPriority w:val="34"/>
    <w:pPr>
      <w:ind w:firstLine="420" w:firstLineChars="200"/>
    </w:pPr>
  </w:style>
  <w:style w:type="character" w:customStyle="1" w:styleId="51">
    <w:name w:val="标题 字符"/>
    <w:basedOn w:val="30"/>
    <w:link w:val="25"/>
    <w:qFormat/>
    <w:uiPriority w:val="10"/>
    <w:rPr>
      <w:rFonts w:asciiTheme="majorHAnsi" w:hAnsiTheme="majorHAnsi" w:eastAsiaTheme="majorEastAsia" w:cstheme="majorBidi"/>
      <w:b/>
      <w:bCs/>
      <w:sz w:val="32"/>
      <w:szCs w:val="32"/>
    </w:rPr>
  </w:style>
  <w:style w:type="paragraph" w:customStyle="1" w:styleId="52">
    <w:name w:val="biaoge_left"/>
    <w:basedOn w:val="1"/>
    <w:qFormat/>
    <w:uiPriority w:val="0"/>
    <w:pPr>
      <w:widowControl/>
      <w:autoSpaceDE w:val="0"/>
      <w:autoSpaceDN w:val="0"/>
      <w:adjustRightInd w:val="0"/>
      <w:spacing w:before="29"/>
      <w:ind w:left="15"/>
      <w:jc w:val="left"/>
    </w:pPr>
    <w:rPr>
      <w:rFonts w:ascii="宋体" w:hAnsi="宋体" w:cs="宋体"/>
      <w:kern w:val="0"/>
      <w:szCs w:val="24"/>
    </w:rPr>
  </w:style>
  <w:style w:type="paragraph" w:customStyle="1" w:styleId="53">
    <w:name w:val="biaoge_center"/>
    <w:basedOn w:val="1"/>
    <w:qFormat/>
    <w:uiPriority w:val="0"/>
    <w:pPr>
      <w:widowControl/>
      <w:autoSpaceDE w:val="0"/>
      <w:autoSpaceDN w:val="0"/>
      <w:adjustRightInd w:val="0"/>
      <w:spacing w:before="29"/>
      <w:ind w:left="15"/>
      <w:jc w:val="center"/>
    </w:pPr>
    <w:rPr>
      <w:rFonts w:ascii="宋体" w:hAnsi="宋体" w:cs="宋体"/>
      <w:kern w:val="0"/>
      <w:szCs w:val="24"/>
    </w:rPr>
  </w:style>
  <w:style w:type="paragraph" w:customStyle="1" w:styleId="54">
    <w:name w:val="biaoge_right"/>
    <w:basedOn w:val="1"/>
    <w:qFormat/>
    <w:uiPriority w:val="0"/>
    <w:pPr>
      <w:widowControl/>
      <w:autoSpaceDE w:val="0"/>
      <w:autoSpaceDN w:val="0"/>
      <w:adjustRightInd w:val="0"/>
      <w:spacing w:before="29"/>
      <w:ind w:left="15"/>
      <w:jc w:val="right"/>
    </w:pPr>
    <w:rPr>
      <w:rFonts w:ascii="宋体" w:hAnsi="宋体" w:cs="宋体"/>
      <w:kern w:val="0"/>
      <w:szCs w:val="24"/>
    </w:rPr>
  </w:style>
  <w:style w:type="character" w:customStyle="1" w:styleId="55">
    <w:name w:val="zw"/>
    <w:basedOn w:val="30"/>
    <w:qFormat/>
    <w:uiPriority w:val="1"/>
    <w:rPr>
      <w:rFonts w:ascii="宋体" w:hAnsi="宋体" w:eastAsia="宋体"/>
      <w:color w:val="000000" w:themeColor="text1"/>
      <w:sz w:val="21"/>
      <w14:textFill>
        <w14:solidFill>
          <w14:schemeClr w14:val="tx1"/>
        </w14:solidFill>
      </w14:textFill>
    </w:rPr>
  </w:style>
  <w:style w:type="paragraph" w:customStyle="1" w:styleId="56">
    <w:name w:val="TOC Heading"/>
    <w:basedOn w:val="2"/>
    <w:next w:val="1"/>
    <w:unhideWhenUsed/>
    <w:qFormat/>
    <w:uiPriority w:val="39"/>
    <w:pPr>
      <w:keepNext/>
      <w:keepLines/>
      <w:widowControl/>
      <w:spacing w:before="24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57">
    <w:name w:val="文档结构图 字符"/>
    <w:basedOn w:val="30"/>
    <w:link w:val="8"/>
    <w:semiHidden/>
    <w:qFormat/>
    <w:uiPriority w:val="99"/>
    <w:rPr>
      <w:rFonts w:ascii="宋体" w:eastAsia="宋体"/>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A563A9-B7D3-4DED-9384-59C70ADE8A1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Words>
  <Characters>13</Characters>
  <Lines>1</Lines>
  <Paragraphs>1</Paragraphs>
  <TotalTime>66</TotalTime>
  <ScaleCrop>false</ScaleCrop>
  <LinksUpToDate>false</LinksUpToDate>
  <CharactersWithSpaces>14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2020-03-27T02:14:00Z</dcterms:created>
  <dc:creator>ZXGT01</dc:creator>
  <cp:lastModifiedBy>zxgt01</cp:lastModifiedBy>
  <dcterms:modified xsi:type="dcterms:W3CDTF">2026-09-30T06:17:22Z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